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8663F" w14:textId="2932FFFF" w:rsidR="009039B3" w:rsidRPr="00841BCD" w:rsidRDefault="009039B3" w:rsidP="009039B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#88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D14E4A" w:rsidRPr="00D14E4A">
        <w:rPr>
          <w:rFonts w:ascii="Arial" w:eastAsia="SimSun" w:hAnsi="Arial" w:cs="Times New Roman"/>
          <w:b/>
          <w:bCs/>
          <w:sz w:val="24"/>
          <w:szCs w:val="20"/>
          <w:lang w:val="en-GB" w:eastAsia="ja-JP"/>
        </w:rPr>
        <w:t>R4-1811124</w:t>
      </w:r>
      <w:bookmarkStart w:id="3" w:name="_GoBack"/>
      <w:bookmarkEnd w:id="3"/>
    </w:p>
    <w:p w14:paraId="7A9741F2" w14:textId="77777777" w:rsidR="009039B3" w:rsidRPr="00841BCD" w:rsidRDefault="009039B3" w:rsidP="009039B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Gothenburg, Sweden, 20-24 August 2018</w:t>
      </w:r>
    </w:p>
    <w:bookmarkEnd w:id="0"/>
    <w:bookmarkEnd w:id="1"/>
    <w:p w14:paraId="17C9D08F"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452CA4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6727C955"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039B3">
        <w:rPr>
          <w:rFonts w:ascii="Arial" w:eastAsia="Calibri" w:hAnsi="Arial" w:cs="Arial"/>
          <w:b/>
          <w:bCs/>
          <w:sz w:val="24"/>
          <w:lang w:val="en-GB"/>
        </w:rPr>
        <w:t>DCI and timer based BWP switching delay and interruptions</w:t>
      </w:r>
      <w:r w:rsidRPr="00841BCD" w:rsidDel="000A742C">
        <w:rPr>
          <w:rFonts w:ascii="Arial" w:eastAsia="Calibri" w:hAnsi="Arial" w:cs="Arial"/>
          <w:b/>
          <w:bCs/>
          <w:sz w:val="24"/>
          <w:lang w:val="en-GB"/>
        </w:rPr>
        <w:t xml:space="preserve"> </w:t>
      </w:r>
    </w:p>
    <w:p w14:paraId="7C63A827" w14:textId="13ABF29C"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51974" w:rsidRPr="00251974">
        <w:rPr>
          <w:rFonts w:ascii="Arial" w:eastAsia="MS Mincho" w:hAnsi="Arial" w:cs="Arial"/>
          <w:b/>
          <w:bCs/>
          <w:sz w:val="24"/>
          <w:szCs w:val="20"/>
          <w:lang w:val="en-GB"/>
        </w:rPr>
        <w:t>7.11.8.4</w:t>
      </w:r>
    </w:p>
    <w:p w14:paraId="1636DE0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9039B3">
        <w:rPr>
          <w:rFonts w:ascii="Arial" w:eastAsia="Calibri" w:hAnsi="Arial" w:cs="Arial"/>
          <w:b/>
          <w:bCs/>
          <w:sz w:val="24"/>
          <w:lang w:val="en-GB"/>
        </w:rPr>
        <w:t>Discussion</w:t>
      </w:r>
    </w:p>
    <w:p w14:paraId="51F15231" w14:textId="77777777" w:rsidR="00841BCD" w:rsidRDefault="00841BCD" w:rsidP="00A37002">
      <w:pPr>
        <w:pStyle w:val="RAN4H1"/>
      </w:pPr>
      <w:r w:rsidRPr="00AE56B1">
        <w:t>Intro</w:t>
      </w:r>
      <w:r w:rsidRPr="00AE56B1">
        <w:rPr>
          <w:rStyle w:val="RAN4H1Char"/>
        </w:rPr>
        <w:t>ductio</w:t>
      </w:r>
      <w:r w:rsidRPr="00AE56B1">
        <w:t>n</w:t>
      </w:r>
    </w:p>
    <w:p w14:paraId="31EB07DB" w14:textId="08A04007" w:rsidR="009039B3" w:rsidRDefault="007A4AD4" w:rsidP="009039B3">
      <w:r>
        <w:t>In the Montreal ad hoc, CRs for BWP switching delay and interruptions due to BWP switching were endorsed in [1], [2] and [3]. While the structure of the requirements was agreed, some</w:t>
      </w:r>
      <w:r w:rsidR="001149A4">
        <w:t xml:space="preserve"> significang</w:t>
      </w:r>
      <w:r>
        <w:t xml:space="preserve"> issues still remained unsolved considering the switching delay</w:t>
      </w:r>
      <w:r w:rsidR="00184C2A">
        <w:t xml:space="preserve"> for different UE types</w:t>
      </w:r>
      <w:r w:rsidR="00231633">
        <w:t>,</w:t>
      </w:r>
      <w:r w:rsidR="00184C2A">
        <w:t xml:space="preserve"> and interruptions. The open issues for BWP switching delay were listed in a WF in [4]. The contents of the WF are repeated below:</w:t>
      </w:r>
    </w:p>
    <w:p w14:paraId="20991F2C" w14:textId="77777777" w:rsidR="00E20B8A" w:rsidRPr="00DA0ED9" w:rsidRDefault="00D05D39" w:rsidP="009039B3">
      <w:pPr>
        <w:numPr>
          <w:ilvl w:val="0"/>
          <w:numId w:val="21"/>
        </w:numPr>
        <w:rPr>
          <w:i/>
        </w:rPr>
      </w:pPr>
      <w:r w:rsidRPr="00DA0ED9">
        <w:rPr>
          <w:i/>
        </w:rPr>
        <w:t xml:space="preserve">Depending on the proposals from interested companies, options to introduce new BWP switching delay are to be further discussed </w:t>
      </w:r>
    </w:p>
    <w:p w14:paraId="2D4DA0D2" w14:textId="77777777" w:rsidR="00E20B8A" w:rsidRPr="00DA0ED9" w:rsidRDefault="00D05D39" w:rsidP="009039B3">
      <w:pPr>
        <w:numPr>
          <w:ilvl w:val="1"/>
          <w:numId w:val="21"/>
        </w:numPr>
        <w:rPr>
          <w:i/>
        </w:rPr>
      </w:pPr>
      <w:r w:rsidRPr="00DA0ED9">
        <w:rPr>
          <w:i/>
        </w:rPr>
        <w:t>Option 1: Keep type 1 and type 2 unchanged.</w:t>
      </w:r>
    </w:p>
    <w:p w14:paraId="161F56DB" w14:textId="77777777" w:rsidR="00E20B8A" w:rsidRPr="00DA0ED9" w:rsidRDefault="00D05D39" w:rsidP="009039B3">
      <w:pPr>
        <w:numPr>
          <w:ilvl w:val="1"/>
          <w:numId w:val="21"/>
        </w:numPr>
        <w:rPr>
          <w:i/>
        </w:rPr>
      </w:pPr>
      <w:r w:rsidRPr="00DA0ED9">
        <w:rPr>
          <w:i/>
        </w:rPr>
        <w:t>Option 2: Revise Type 1 delay and keep Type 2 unchanged.</w:t>
      </w:r>
    </w:p>
    <w:p w14:paraId="4B53DCBC" w14:textId="77777777" w:rsidR="00E20B8A" w:rsidRPr="00DA0ED9" w:rsidRDefault="00D05D39" w:rsidP="009039B3">
      <w:pPr>
        <w:numPr>
          <w:ilvl w:val="1"/>
          <w:numId w:val="21"/>
        </w:numPr>
        <w:rPr>
          <w:i/>
        </w:rPr>
      </w:pPr>
      <w:r w:rsidRPr="00DA0ED9">
        <w:rPr>
          <w:i/>
        </w:rPr>
        <w:t>Option 3: Keep Type 1 and 2 unchanged and introduce Type 3 delay more than 2ms.</w:t>
      </w:r>
    </w:p>
    <w:p w14:paraId="6B47F595" w14:textId="77777777" w:rsidR="00E20B8A" w:rsidRPr="00DA0ED9" w:rsidRDefault="00D05D39" w:rsidP="009039B3">
      <w:pPr>
        <w:numPr>
          <w:ilvl w:val="1"/>
          <w:numId w:val="21"/>
        </w:numPr>
        <w:rPr>
          <w:i/>
        </w:rPr>
      </w:pPr>
      <w:r w:rsidRPr="00DA0ED9">
        <w:rPr>
          <w:i/>
        </w:rPr>
        <w:t xml:space="preserve">Option 4: Revise type 1 delay less than 2ms, introduce type 3 delay more than 2ms and keep Type 2 unchanged. </w:t>
      </w:r>
    </w:p>
    <w:p w14:paraId="42A53470" w14:textId="77777777" w:rsidR="00E20B8A" w:rsidRPr="00DA0ED9" w:rsidRDefault="00D05D39" w:rsidP="009039B3">
      <w:pPr>
        <w:numPr>
          <w:ilvl w:val="1"/>
          <w:numId w:val="21"/>
        </w:numPr>
        <w:rPr>
          <w:i/>
        </w:rPr>
      </w:pPr>
      <w:r w:rsidRPr="00DA0ED9">
        <w:rPr>
          <w:i/>
        </w:rPr>
        <w:t>If option 3 or 4 is agreed, an LS will be send to RAN2 to introduce Type 3 BWP switching delay.</w:t>
      </w:r>
    </w:p>
    <w:p w14:paraId="56D98853" w14:textId="77777777" w:rsidR="00E20B8A" w:rsidRPr="00DA0ED9" w:rsidRDefault="00D05D39" w:rsidP="009039B3">
      <w:pPr>
        <w:numPr>
          <w:ilvl w:val="0"/>
          <w:numId w:val="21"/>
        </w:numPr>
        <w:rPr>
          <w:i/>
        </w:rPr>
      </w:pPr>
      <w:r w:rsidRPr="00DA0ED9">
        <w:rPr>
          <w:i/>
        </w:rPr>
        <w:t>Interested companies are encouraged to provide the analysis in RAN4#88 on the impact of long BWP switching delay (i.e. &gt;2ms) from both network and UE perspectives.</w:t>
      </w:r>
    </w:p>
    <w:p w14:paraId="724FB79C" w14:textId="77777777" w:rsidR="00E20B8A" w:rsidRPr="00DA0ED9" w:rsidRDefault="00D05D39" w:rsidP="009039B3">
      <w:pPr>
        <w:numPr>
          <w:ilvl w:val="0"/>
          <w:numId w:val="21"/>
        </w:numPr>
        <w:rPr>
          <w:i/>
        </w:rPr>
      </w:pPr>
      <w:r w:rsidRPr="00DA0ED9">
        <w:rPr>
          <w:i/>
        </w:rPr>
        <w:t xml:space="preserve">It is FFS if the delay for BWP switching involving only baseband parameter changes is the same as scenario 1/2/3 or scenario 4.  </w:t>
      </w:r>
    </w:p>
    <w:p w14:paraId="7743C53E" w14:textId="77777777" w:rsidR="00E20B8A" w:rsidRPr="00DA0ED9" w:rsidRDefault="00D05D39" w:rsidP="009039B3">
      <w:pPr>
        <w:numPr>
          <w:ilvl w:val="1"/>
          <w:numId w:val="21"/>
        </w:numPr>
        <w:rPr>
          <w:i/>
        </w:rPr>
      </w:pPr>
      <w:r w:rsidRPr="00DA0ED9">
        <w:rPr>
          <w:i/>
        </w:rPr>
        <w:t>Interested companies are encouraged to provide the list of baseband parameters, which results in the corresponding BWP switching delay the same as scenario 1/2/3 or scenario 4.</w:t>
      </w:r>
    </w:p>
    <w:p w14:paraId="7DF2D92D" w14:textId="77777777" w:rsidR="00DA0ED9" w:rsidRDefault="000D0566" w:rsidP="009039B3">
      <w:r>
        <w:t>T</w:t>
      </w:r>
      <w:r w:rsidR="00DA0ED9">
        <w:t>he following agreements were also reached during the Signaling characte</w:t>
      </w:r>
      <w:r>
        <w:t>ristics AH</w:t>
      </w:r>
      <w:r w:rsidR="00DA0ED9">
        <w:t xml:space="preserve"> [5]:</w:t>
      </w:r>
    </w:p>
    <w:p w14:paraId="688284B6" w14:textId="77777777" w:rsidR="00DA0ED9" w:rsidRPr="00DA0ED9" w:rsidRDefault="00DA0ED9" w:rsidP="00DA0ED9">
      <w:pPr>
        <w:pStyle w:val="ListParagraph"/>
        <w:numPr>
          <w:ilvl w:val="0"/>
          <w:numId w:val="24"/>
        </w:numPr>
        <w:rPr>
          <w:i/>
        </w:rPr>
      </w:pPr>
      <w:r w:rsidRPr="00DA0ED9">
        <w:rPr>
          <w:i/>
        </w:rPr>
        <w:t>No extra delay for channel estimation after BWP switching</w:t>
      </w:r>
    </w:p>
    <w:p w14:paraId="722A3393" w14:textId="77777777" w:rsidR="00DA0ED9" w:rsidRPr="00DA0ED9" w:rsidRDefault="00DA0ED9" w:rsidP="00DA0ED9">
      <w:pPr>
        <w:pStyle w:val="ListParagraph"/>
        <w:numPr>
          <w:ilvl w:val="0"/>
          <w:numId w:val="24"/>
        </w:numPr>
        <w:rPr>
          <w:i/>
        </w:rPr>
      </w:pPr>
      <w:r w:rsidRPr="00DA0ED9">
        <w:rPr>
          <w:i/>
        </w:rPr>
        <w:t>RAN4 is to define two types of requirements for BWP switching delay involving only Baseband parameter changes, based on what parameters is changing.</w:t>
      </w:r>
    </w:p>
    <w:p w14:paraId="58097919" w14:textId="77777777" w:rsidR="00DA0ED9" w:rsidRPr="00DA0ED9" w:rsidRDefault="00DA0ED9" w:rsidP="00DA0ED9">
      <w:pPr>
        <w:pStyle w:val="ListParagraph"/>
        <w:numPr>
          <w:ilvl w:val="0"/>
          <w:numId w:val="24"/>
        </w:numPr>
        <w:rPr>
          <w:i/>
        </w:rPr>
      </w:pPr>
      <w:r w:rsidRPr="00DA0ED9">
        <w:rPr>
          <w:i/>
        </w:rPr>
        <w:t>Same delay requirements apply for DCI-based and timer-based switching.</w:t>
      </w:r>
    </w:p>
    <w:p w14:paraId="7E77A718" w14:textId="77777777" w:rsidR="00DA0ED9" w:rsidRPr="00DA0ED9" w:rsidRDefault="00DA0ED9" w:rsidP="00DA0ED9">
      <w:pPr>
        <w:pStyle w:val="ListParagraph"/>
        <w:numPr>
          <w:ilvl w:val="0"/>
          <w:numId w:val="24"/>
        </w:numPr>
        <w:rPr>
          <w:i/>
        </w:rPr>
      </w:pPr>
      <w:r w:rsidRPr="00DA0ED9">
        <w:rPr>
          <w:i/>
        </w:rPr>
        <w:t>For scenario 1, 2 and 3, UE capable of per-FR gap shall not cause interruption to serving cells in FR other than the one where the BWP switching occurs. For UE doesn’t support per-FR gap, the interruption is allowed on all the other serving cells.</w:t>
      </w:r>
    </w:p>
    <w:p w14:paraId="4F523CF4" w14:textId="77777777" w:rsidR="00DA0ED9" w:rsidRPr="00DA0ED9" w:rsidRDefault="00DA0ED9" w:rsidP="00DA0ED9">
      <w:pPr>
        <w:pStyle w:val="ListParagraph"/>
        <w:numPr>
          <w:ilvl w:val="0"/>
          <w:numId w:val="24"/>
        </w:numPr>
        <w:rPr>
          <w:i/>
        </w:rPr>
      </w:pPr>
      <w:r w:rsidRPr="00DA0ED9">
        <w:rPr>
          <w:i/>
        </w:rPr>
        <w:t>BWP switching involving only baseband parameter change will not cause interruptions.</w:t>
      </w:r>
    </w:p>
    <w:p w14:paraId="20F93296" w14:textId="77777777" w:rsidR="00DA0ED9" w:rsidRDefault="00DA0ED9" w:rsidP="00DA0ED9">
      <w:pPr>
        <w:pStyle w:val="ListParagraph"/>
        <w:numPr>
          <w:ilvl w:val="0"/>
          <w:numId w:val="24"/>
        </w:numPr>
      </w:pPr>
      <w:r w:rsidRPr="00DA0ED9">
        <w:rPr>
          <w:i/>
        </w:rPr>
        <w:t>Regarding interruption duration, we can reuse interruption requirements for SCell activation.</w:t>
      </w:r>
    </w:p>
    <w:p w14:paraId="13166515" w14:textId="77777777" w:rsidR="009039B3" w:rsidRDefault="00184C2A" w:rsidP="009039B3">
      <w:r>
        <w:t>Furthermore, interruption duration when NR cell is the victim, and when E-UTRA cell is the victim in intra-band synchronous and asynchronous EN-DC were left open.</w:t>
      </w:r>
      <w:r w:rsidR="00E47EB7">
        <w:t xml:space="preserve"> The endorsed CRs also do not clarify which types of BWP switching may cause interruptions, which is contradictory to the agreements made during the meeting.</w:t>
      </w:r>
    </w:p>
    <w:p w14:paraId="5D30A022" w14:textId="77777777" w:rsidR="00184C2A" w:rsidRPr="009039B3" w:rsidRDefault="00184C2A" w:rsidP="009039B3">
      <w:r>
        <w:t>In this contribution we discuss the open issues based on the WF and the endorsed CRs.</w:t>
      </w:r>
    </w:p>
    <w:p w14:paraId="2D7C1976" w14:textId="77777777" w:rsidR="003B659E" w:rsidRDefault="00184C2A" w:rsidP="00AE56B1">
      <w:pPr>
        <w:pStyle w:val="RAN4H1"/>
      </w:pPr>
      <w:r>
        <w:lastRenderedPageBreak/>
        <w:t>BWP switching delay</w:t>
      </w:r>
      <w:r w:rsidR="006F5EC4">
        <w:t xml:space="preserve"> (DCI based switching)</w:t>
      </w:r>
    </w:p>
    <w:p w14:paraId="0CE986EE" w14:textId="77777777" w:rsidR="00DA0ED9" w:rsidRDefault="00DA0ED9" w:rsidP="00DA0ED9">
      <w:pPr>
        <w:pStyle w:val="RAN4H2"/>
        <w:rPr>
          <w:lang w:val="en-GB"/>
        </w:rPr>
      </w:pPr>
      <w:r>
        <w:rPr>
          <w:lang w:val="en-GB"/>
        </w:rPr>
        <w:t>Delay per UE type</w:t>
      </w:r>
    </w:p>
    <w:p w14:paraId="75EA21BD" w14:textId="77777777" w:rsidR="00184C2A" w:rsidRDefault="00184C2A" w:rsidP="00184C2A">
      <w:pPr>
        <w:rPr>
          <w:lang w:val="en-GB"/>
        </w:rPr>
      </w:pPr>
      <w:r>
        <w:rPr>
          <w:lang w:val="en-GB"/>
        </w:rPr>
        <w:t>Earlier, the following values for BWP swit</w:t>
      </w:r>
      <w:r w:rsidR="00DA0ED9">
        <w:rPr>
          <w:lang w:val="en-GB"/>
        </w:rPr>
        <w:t>ching delay were agreed in LS [6</w:t>
      </w:r>
      <w:r>
        <w:rPr>
          <w:lang w:val="en-GB"/>
        </w:rPr>
        <w:t>] by RAN4 RF</w:t>
      </w:r>
      <w:r w:rsidR="000D0566">
        <w:rPr>
          <w:lang w:val="en-GB"/>
        </w:rPr>
        <w:t xml:space="preserve"> for Type 1 and Type 2 UE</w:t>
      </w:r>
      <w:r>
        <w:rPr>
          <w:lang w:val="en-GB"/>
        </w:rPr>
        <w:t>:</w:t>
      </w:r>
    </w:p>
    <w:p w14:paraId="321D423A" w14:textId="77777777" w:rsidR="00184C2A" w:rsidRDefault="00184C2A" w:rsidP="00184C2A">
      <w:pPr>
        <w:rPr>
          <w:lang w:val="en-GB"/>
        </w:rPr>
      </w:pPr>
      <w:r w:rsidRPr="00052F27">
        <w:rPr>
          <w:i/>
          <w:noProof/>
        </w:rPr>
        <w:drawing>
          <wp:inline distT="0" distB="0" distL="0" distR="0" wp14:anchorId="0900385A" wp14:editId="687E90B6">
            <wp:extent cx="4467225" cy="15639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22005" cy="1583110"/>
                    </a:xfrm>
                    <a:prstGeom prst="rect">
                      <a:avLst/>
                    </a:prstGeom>
                    <a:noFill/>
                  </pic:spPr>
                </pic:pic>
              </a:graphicData>
            </a:graphic>
          </wp:inline>
        </w:drawing>
      </w:r>
    </w:p>
    <w:p w14:paraId="27827A92" w14:textId="77777777" w:rsidR="00184C2A" w:rsidRDefault="00184C2A" w:rsidP="00184C2A">
      <w:pPr>
        <w:rPr>
          <w:lang w:val="en-GB"/>
        </w:rPr>
      </w:pPr>
      <w:r>
        <w:rPr>
          <w:lang w:val="en-GB"/>
        </w:rPr>
        <w:t xml:space="preserve">In the last meeting some companies questioned the feasibility of the agreed Type 1 UE delays. Furthermore, there was a proposal to have one UE type that has delay longer than Type 2 UE. Proposed options were to revise Type 1 UE delays and/or to add Type 3 UE with delays up to 4 ms. </w:t>
      </w:r>
    </w:p>
    <w:p w14:paraId="53A5022A" w14:textId="3032FE6D" w:rsidR="00BC4429" w:rsidRDefault="001149A4" w:rsidP="00184C2A">
      <w:pPr>
        <w:rPr>
          <w:lang w:val="en-GB"/>
        </w:rPr>
      </w:pPr>
      <w:r>
        <w:rPr>
          <w:lang w:val="en-GB"/>
        </w:rPr>
        <w:t>Based on the discussions in the last meeting, it</w:t>
      </w:r>
      <w:r w:rsidR="00BC4429">
        <w:rPr>
          <w:lang w:val="en-GB"/>
        </w:rPr>
        <w:t xml:space="preserve"> seemed that Type 1 UE delay would possibly be feasible at least to some UEs, which was left for confirmation. If Type 1 UE delay can be met by any UE, we see that </w:t>
      </w:r>
      <w:r w:rsidR="000D0566">
        <w:rPr>
          <w:lang w:val="en-GB"/>
        </w:rPr>
        <w:t>the delay as it is should be kept in the requirements.</w:t>
      </w:r>
      <w:r w:rsidR="00BC4429">
        <w:rPr>
          <w:lang w:val="en-GB"/>
        </w:rPr>
        <w:t xml:space="preserve"> </w:t>
      </w:r>
      <w:r w:rsidR="000D0566">
        <w:rPr>
          <w:lang w:val="en-GB"/>
        </w:rPr>
        <w:t xml:space="preserve">If the current values cannot be met by any UE, </w:t>
      </w:r>
      <w:r w:rsidR="00C803EE">
        <w:rPr>
          <w:lang w:val="en-GB"/>
        </w:rPr>
        <w:t>it could be discussed whether some value a bit higher than the agreed value is feasible (e.g. 1 ms).</w:t>
      </w:r>
    </w:p>
    <w:p w14:paraId="7C50D7E6" w14:textId="77777777" w:rsidR="00BC4429" w:rsidRDefault="00BC4429" w:rsidP="000D0566">
      <w:pPr>
        <w:pStyle w:val="RAN4proposal"/>
      </w:pPr>
      <w:r>
        <w:t>If Type 1 delay can be met by any UE, the delay should be kept as agreed earlier.</w:t>
      </w:r>
    </w:p>
    <w:p w14:paraId="4477A02B" w14:textId="77777777" w:rsidR="00BC4429" w:rsidRDefault="00C803EE" w:rsidP="00184C2A">
      <w:pPr>
        <w:rPr>
          <w:lang w:val="en-GB"/>
        </w:rPr>
      </w:pPr>
      <w:r>
        <w:rPr>
          <w:lang w:val="en-GB"/>
        </w:rPr>
        <w:t xml:space="preserve">Type 2 UE BWP switching delays seemed to be feasible according to most UE vendors, and thus no option in the WF suggested to change the delay for this type. </w:t>
      </w:r>
      <w:r w:rsidR="00BC4429">
        <w:rPr>
          <w:lang w:val="en-GB"/>
        </w:rPr>
        <w:t xml:space="preserve">Whether to have a Type 3 UE with even longer delays is another issue. </w:t>
      </w:r>
      <w:r w:rsidR="00C82906">
        <w:rPr>
          <w:lang w:val="en-GB"/>
        </w:rPr>
        <w:t>From network perspective, already a 2 ms BWP switching delay, as agreed earlier for Type 2 UE, is fairly long. If BWP switching takes a long time, network will likely not use the feature very often. Thus, we see it very important to have as short delays as possible</w:t>
      </w:r>
      <w:r>
        <w:rPr>
          <w:lang w:val="en-GB"/>
        </w:rPr>
        <w:t>, and therefore</w:t>
      </w:r>
      <w:r w:rsidR="00BC4429">
        <w:rPr>
          <w:lang w:val="en-GB"/>
        </w:rPr>
        <w:t xml:space="preserve"> we prefer to </w:t>
      </w:r>
      <w:r w:rsidR="00C82906">
        <w:rPr>
          <w:lang w:val="en-GB"/>
        </w:rPr>
        <w:t>avoid introducing a UE type with BWP switching delay longer than 2 ms</w:t>
      </w:r>
      <w:r>
        <w:rPr>
          <w:lang w:val="en-GB"/>
        </w:rPr>
        <w:t xml:space="preserve"> if possible.</w:t>
      </w:r>
    </w:p>
    <w:p w14:paraId="3C487726" w14:textId="77777777" w:rsidR="00C803EE" w:rsidRPr="00C803EE" w:rsidRDefault="00C82906" w:rsidP="00C803EE">
      <w:pPr>
        <w:pStyle w:val="RAN4observation0"/>
      </w:pPr>
      <w:r>
        <w:t>If BWP switching delay is long, the network may not use the feature very often.</w:t>
      </w:r>
    </w:p>
    <w:p w14:paraId="430FCB5D" w14:textId="77777777" w:rsidR="00C82906" w:rsidRDefault="00C803EE" w:rsidP="00C82906">
      <w:pPr>
        <w:rPr>
          <w:lang w:val="en-GB"/>
        </w:rPr>
      </w:pPr>
      <w:r>
        <w:rPr>
          <w:lang w:val="en-GB"/>
        </w:rPr>
        <w:t>Hence, with the current knowledge assuming that Type 1 UE delay can be met by any UE, we propose the following:</w:t>
      </w:r>
    </w:p>
    <w:p w14:paraId="4FF99177" w14:textId="77777777" w:rsidR="00C82906" w:rsidRDefault="00C82906" w:rsidP="00C82906">
      <w:pPr>
        <w:pStyle w:val="RAN4proposal"/>
        <w:rPr>
          <w:lang w:val="en-GB"/>
        </w:rPr>
      </w:pPr>
      <w:r>
        <w:rPr>
          <w:lang w:val="en-GB"/>
        </w:rPr>
        <w:t>Keep Type 1 and Type 2 UE BWP switching delays as agreed earlier.</w:t>
      </w:r>
    </w:p>
    <w:p w14:paraId="344E648A" w14:textId="15FB4C3F" w:rsidR="00AE5735" w:rsidRDefault="00AE5735" w:rsidP="00AE5735">
      <w:pPr>
        <w:rPr>
          <w:lang w:val="en-GB"/>
        </w:rPr>
      </w:pPr>
      <w:r>
        <w:rPr>
          <w:lang w:val="en-GB"/>
        </w:rPr>
        <w:t xml:space="preserve">Based on these values, the delays need to be defined in slots. We repeat the discussion from our last meeting’s paper below on how to calculate the </w:t>
      </w:r>
      <w:r w:rsidR="001149A4">
        <w:rPr>
          <w:lang w:val="en-GB"/>
        </w:rPr>
        <w:t>number</w:t>
      </w:r>
      <w:r>
        <w:rPr>
          <w:lang w:val="en-GB"/>
        </w:rPr>
        <w:t xml:space="preserve"> of slots.</w:t>
      </w:r>
    </w:p>
    <w:p w14:paraId="3E73C199" w14:textId="1A4A0CED" w:rsidR="00C803EE" w:rsidRDefault="00AE5735" w:rsidP="00AE5735">
      <w:pPr>
        <w:rPr>
          <w:lang w:val="en-GB"/>
        </w:rPr>
      </w:pPr>
      <w:r>
        <w:rPr>
          <w:lang w:val="en-GB"/>
        </w:rPr>
        <w:t xml:space="preserve">DCI-based switching begins at </w:t>
      </w:r>
      <w:r w:rsidRPr="006E21FD">
        <w:rPr>
          <w:lang w:val="en-GB"/>
        </w:rPr>
        <w:t>the end of the last</w:t>
      </w:r>
      <w:r w:rsidRPr="00922DE2">
        <w:rPr>
          <w:i/>
          <w:lang w:val="en-GB"/>
        </w:rPr>
        <w:t xml:space="preserve"> symbol</w:t>
      </w:r>
      <w:r w:rsidRPr="006E21FD">
        <w:rPr>
          <w:lang w:val="en-GB"/>
        </w:rPr>
        <w:t xml:space="preserve"> including the DCI indicating the BWP switch</w:t>
      </w:r>
      <w:r>
        <w:rPr>
          <w:lang w:val="en-GB"/>
        </w:rPr>
        <w:t xml:space="preserve">. Thus, when the time is calculated in </w:t>
      </w:r>
      <w:r w:rsidRPr="00922DE2">
        <w:rPr>
          <w:i/>
          <w:lang w:val="en-GB"/>
        </w:rPr>
        <w:t>slots</w:t>
      </w:r>
      <w:r>
        <w:rPr>
          <w:lang w:val="en-GB"/>
        </w:rPr>
        <w:t xml:space="preserve">, for DCI-based switching, the total delay in slots may depend on the PDCCH symbol where DCI is sent. DCI can occur in the three first symbols of a slot. Therefore, in the worst-case scenario, when DCI is in the third symbol, the delay is calculated only from the end of the third symbol, and this impacts the number of slots that are interrupted for some SCS. Table 3 below shows the delay for DCI-based switching according to above defined worst-case scenario i.e. three symbols are added on top of the BWP switching time to get the total number of interrupted slots. Even though DCI may also occur in first or second symbol, </w:t>
      </w:r>
      <w:r w:rsidR="001149A4">
        <w:rPr>
          <w:lang w:val="en-GB"/>
        </w:rPr>
        <w:t>to keep the requirements simple, it is enough to introduce requirements for the worst-case scenario.</w:t>
      </w:r>
      <w:r>
        <w:rPr>
          <w:lang w:val="en-GB"/>
        </w:rPr>
        <w:t xml:space="preserve"> </w:t>
      </w:r>
    </w:p>
    <w:p w14:paraId="79D6DEA6" w14:textId="40401245" w:rsidR="00AE5735" w:rsidRDefault="00C803EE" w:rsidP="00AE5735">
      <w:pPr>
        <w:rPr>
          <w:lang w:val="en-GB"/>
        </w:rPr>
      </w:pPr>
      <w:r>
        <w:rPr>
          <w:lang w:val="en-GB"/>
        </w:rPr>
        <w:t>Timer-based switching begins on the slot border after the timer expires, but it was agreed in the last meeting</w:t>
      </w:r>
      <w:r w:rsidR="00AE5735">
        <w:rPr>
          <w:lang w:val="en-GB"/>
        </w:rPr>
        <w:t xml:space="preserve"> </w:t>
      </w:r>
      <w:r>
        <w:rPr>
          <w:lang w:val="en-GB"/>
        </w:rPr>
        <w:t xml:space="preserve">that </w:t>
      </w:r>
      <w:r w:rsidR="00AE5735">
        <w:rPr>
          <w:lang w:val="en-GB"/>
        </w:rPr>
        <w:t xml:space="preserve">the delay for timer-based BWP switching </w:t>
      </w:r>
      <w:r>
        <w:rPr>
          <w:lang w:val="en-GB"/>
        </w:rPr>
        <w:t>and DCI-based BWP switching should be the same. Thus</w:t>
      </w:r>
      <w:r w:rsidR="001149A4">
        <w:rPr>
          <w:lang w:val="en-GB"/>
        </w:rPr>
        <w:t>,</w:t>
      </w:r>
      <w:r>
        <w:rPr>
          <w:lang w:val="en-GB"/>
        </w:rPr>
        <w:t xml:space="preserve"> the same values as for DCI-based switching worst case scenario </w:t>
      </w:r>
      <w:r w:rsidR="001149A4">
        <w:rPr>
          <w:lang w:val="en-GB"/>
        </w:rPr>
        <w:t xml:space="preserve">should </w:t>
      </w:r>
      <w:r>
        <w:rPr>
          <w:lang w:val="en-GB"/>
        </w:rPr>
        <w:t>apply also for timer-based switching.</w:t>
      </w:r>
    </w:p>
    <w:p w14:paraId="7509A613" w14:textId="77777777" w:rsidR="001149A4" w:rsidRDefault="001149A4" w:rsidP="00AE5735">
      <w:pPr>
        <w:rPr>
          <w:lang w:val="en-GB"/>
        </w:rPr>
      </w:pPr>
    </w:p>
    <w:p w14:paraId="43287EDD" w14:textId="77777777" w:rsidR="00AE5735" w:rsidRDefault="00AE5735" w:rsidP="00AE5735">
      <w:pPr>
        <w:pStyle w:val="Caption"/>
        <w:keepNext/>
      </w:pPr>
      <w:r>
        <w:lastRenderedPageBreak/>
        <w:t xml:space="preserve">Table </w:t>
      </w:r>
      <w:fldSimple w:instr=" SEQ Table \* ARABIC ">
        <w:r>
          <w:rPr>
            <w:noProof/>
          </w:rPr>
          <w:t>3</w:t>
        </w:r>
      </w:fldSimple>
      <w:r>
        <w:t xml:space="preserve">: BWP switching delay </w:t>
      </w:r>
      <w:r w:rsidR="00C803EE">
        <w:t>in slots.</w:t>
      </w:r>
    </w:p>
    <w:tbl>
      <w:tblPr>
        <w:tblStyle w:val="TableGrid"/>
        <w:tblW w:w="0" w:type="auto"/>
        <w:tblLook w:val="04A0" w:firstRow="1" w:lastRow="0" w:firstColumn="1" w:lastColumn="0" w:noHBand="0" w:noVBand="1"/>
      </w:tblPr>
      <w:tblGrid>
        <w:gridCol w:w="484"/>
        <w:gridCol w:w="863"/>
        <w:gridCol w:w="1033"/>
        <w:gridCol w:w="1034"/>
        <w:gridCol w:w="1034"/>
        <w:gridCol w:w="1034"/>
        <w:gridCol w:w="1033"/>
        <w:gridCol w:w="1034"/>
        <w:gridCol w:w="1034"/>
        <w:gridCol w:w="1034"/>
      </w:tblGrid>
      <w:tr w:rsidR="00AE5735" w14:paraId="06E77E46" w14:textId="77777777" w:rsidTr="00041A8E">
        <w:tc>
          <w:tcPr>
            <w:tcW w:w="484" w:type="dxa"/>
            <w:vAlign w:val="center"/>
          </w:tcPr>
          <w:p w14:paraId="0397C82B" w14:textId="77777777" w:rsidR="00AE5735" w:rsidRPr="00214AA4" w:rsidRDefault="00AE5735" w:rsidP="00041A8E">
            <w:pPr>
              <w:jc w:val="center"/>
              <w:rPr>
                <w:rFonts w:ascii="Arial" w:hAnsi="Arial" w:cs="Arial"/>
                <w:sz w:val="18"/>
                <w:szCs w:val="18"/>
                <w:lang w:val="en-GB"/>
              </w:rPr>
            </w:pPr>
            <w:r w:rsidRPr="00214AA4">
              <w:rPr>
                <w:rFonts w:ascii="Arial" w:hAnsi="Arial" w:cs="Arial"/>
                <w:b/>
                <w:noProof/>
                <w:sz w:val="18"/>
                <w:szCs w:val="18"/>
              </w:rPr>
              <w:drawing>
                <wp:inline distT="0" distB="0" distL="0" distR="0" wp14:anchorId="5A8282E9" wp14:editId="5BE51AF4">
                  <wp:extent cx="1524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863" w:type="dxa"/>
            <w:vAlign w:val="center"/>
          </w:tcPr>
          <w:p w14:paraId="70E6D1F7" w14:textId="77777777" w:rsidR="00AE5735" w:rsidRPr="00214AA4" w:rsidRDefault="00AE5735" w:rsidP="00041A8E">
            <w:pPr>
              <w:jc w:val="center"/>
              <w:rPr>
                <w:rFonts w:ascii="Arial" w:hAnsi="Arial" w:cs="Arial"/>
                <w:sz w:val="18"/>
                <w:szCs w:val="18"/>
                <w:lang w:val="en-GB"/>
              </w:rPr>
            </w:pPr>
            <w:r w:rsidRPr="00214AA4">
              <w:rPr>
                <w:rFonts w:ascii="Arial" w:hAnsi="Arial" w:cs="Arial"/>
                <w:b/>
                <w:sz w:val="18"/>
                <w:szCs w:val="18"/>
              </w:rPr>
              <w:t>NR Slot length (ms)</w:t>
            </w:r>
          </w:p>
        </w:tc>
        <w:tc>
          <w:tcPr>
            <w:tcW w:w="2067" w:type="dxa"/>
            <w:gridSpan w:val="2"/>
            <w:vAlign w:val="center"/>
          </w:tcPr>
          <w:p w14:paraId="6211E159" w14:textId="77777777" w:rsidR="00AE5735" w:rsidRPr="00214AA4" w:rsidRDefault="00AE5735" w:rsidP="00041A8E">
            <w:pPr>
              <w:jc w:val="center"/>
              <w:rPr>
                <w:rFonts w:ascii="Arial" w:hAnsi="Arial" w:cs="Arial"/>
                <w:sz w:val="18"/>
                <w:szCs w:val="18"/>
                <w:lang w:val="en-GB"/>
              </w:rPr>
            </w:pPr>
            <w:r w:rsidRPr="00214AA4">
              <w:rPr>
                <w:rFonts w:ascii="Arial" w:hAnsi="Arial" w:cs="Arial"/>
                <w:b/>
                <w:sz w:val="18"/>
                <w:szCs w:val="18"/>
                <w:lang w:val="en-GB"/>
              </w:rPr>
              <w:t>Type 1 UE, Scenario 1, 2, 3</w:t>
            </w:r>
          </w:p>
        </w:tc>
        <w:tc>
          <w:tcPr>
            <w:tcW w:w="2068" w:type="dxa"/>
            <w:gridSpan w:val="2"/>
            <w:vAlign w:val="center"/>
          </w:tcPr>
          <w:p w14:paraId="62FEED78" w14:textId="77777777" w:rsidR="00AE5735" w:rsidRPr="00214AA4" w:rsidRDefault="00AE5735" w:rsidP="00041A8E">
            <w:pPr>
              <w:jc w:val="center"/>
              <w:rPr>
                <w:rFonts w:ascii="Arial" w:hAnsi="Arial" w:cs="Arial"/>
                <w:sz w:val="18"/>
                <w:szCs w:val="18"/>
                <w:lang w:val="en-GB"/>
              </w:rPr>
            </w:pPr>
            <w:r w:rsidRPr="00214AA4">
              <w:rPr>
                <w:rFonts w:ascii="Arial" w:hAnsi="Arial" w:cs="Arial"/>
                <w:b/>
                <w:sz w:val="18"/>
                <w:szCs w:val="18"/>
                <w:lang w:val="en-GB"/>
              </w:rPr>
              <w:t>Type 1 UE, Scenario 4</w:t>
            </w:r>
          </w:p>
        </w:tc>
        <w:tc>
          <w:tcPr>
            <w:tcW w:w="2067" w:type="dxa"/>
            <w:gridSpan w:val="2"/>
            <w:vAlign w:val="center"/>
          </w:tcPr>
          <w:p w14:paraId="68E90223" w14:textId="77777777" w:rsidR="00AE5735" w:rsidRPr="00214AA4" w:rsidRDefault="00AE5735" w:rsidP="00041A8E">
            <w:pPr>
              <w:jc w:val="center"/>
              <w:rPr>
                <w:rFonts w:ascii="Arial" w:hAnsi="Arial" w:cs="Arial"/>
                <w:sz w:val="18"/>
                <w:szCs w:val="18"/>
                <w:lang w:val="en-GB"/>
              </w:rPr>
            </w:pPr>
            <w:r w:rsidRPr="00214AA4">
              <w:rPr>
                <w:rFonts w:ascii="Arial" w:hAnsi="Arial" w:cs="Arial"/>
                <w:b/>
                <w:sz w:val="18"/>
                <w:szCs w:val="18"/>
                <w:lang w:val="en-GB"/>
              </w:rPr>
              <w:t>Type 2 UE, Scenario 1, 2, 3</w:t>
            </w:r>
          </w:p>
        </w:tc>
        <w:tc>
          <w:tcPr>
            <w:tcW w:w="2068" w:type="dxa"/>
            <w:gridSpan w:val="2"/>
            <w:vAlign w:val="center"/>
          </w:tcPr>
          <w:p w14:paraId="4E03E7FC" w14:textId="77777777" w:rsidR="00AE5735" w:rsidRPr="00214AA4" w:rsidRDefault="00AE5735" w:rsidP="00041A8E">
            <w:pPr>
              <w:jc w:val="center"/>
              <w:rPr>
                <w:rFonts w:ascii="Arial" w:hAnsi="Arial" w:cs="Arial"/>
                <w:sz w:val="18"/>
                <w:szCs w:val="18"/>
                <w:lang w:val="en-GB"/>
              </w:rPr>
            </w:pPr>
            <w:r w:rsidRPr="00214AA4">
              <w:rPr>
                <w:rFonts w:ascii="Arial" w:hAnsi="Arial" w:cs="Arial"/>
                <w:b/>
                <w:sz w:val="18"/>
                <w:szCs w:val="18"/>
                <w:lang w:val="en-GB"/>
              </w:rPr>
              <w:t>Type 2 UE, Scenario 4</w:t>
            </w:r>
          </w:p>
        </w:tc>
      </w:tr>
      <w:tr w:rsidR="00AE5735" w14:paraId="7CA91F54" w14:textId="77777777" w:rsidTr="00041A8E">
        <w:tc>
          <w:tcPr>
            <w:tcW w:w="484" w:type="dxa"/>
          </w:tcPr>
          <w:p w14:paraId="79E40118" w14:textId="77777777" w:rsidR="00AE5735" w:rsidRPr="00214AA4" w:rsidRDefault="00AE5735" w:rsidP="00041A8E">
            <w:pPr>
              <w:jc w:val="center"/>
              <w:rPr>
                <w:rFonts w:ascii="Arial" w:hAnsi="Arial" w:cs="Arial"/>
                <w:sz w:val="18"/>
                <w:szCs w:val="18"/>
              </w:rPr>
            </w:pPr>
          </w:p>
        </w:tc>
        <w:tc>
          <w:tcPr>
            <w:tcW w:w="863" w:type="dxa"/>
          </w:tcPr>
          <w:p w14:paraId="3B0AE25E" w14:textId="77777777" w:rsidR="00AE5735" w:rsidRPr="00214AA4" w:rsidRDefault="00AE5735" w:rsidP="00041A8E">
            <w:pPr>
              <w:jc w:val="center"/>
              <w:rPr>
                <w:rFonts w:ascii="Arial" w:hAnsi="Arial" w:cs="Arial"/>
                <w:sz w:val="18"/>
                <w:szCs w:val="18"/>
              </w:rPr>
            </w:pPr>
          </w:p>
        </w:tc>
        <w:tc>
          <w:tcPr>
            <w:tcW w:w="1033" w:type="dxa"/>
          </w:tcPr>
          <w:p w14:paraId="2B9AF250"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lang w:val="en-GB"/>
              </w:rPr>
              <w:t xml:space="preserve">Delay </w:t>
            </w:r>
            <w:r>
              <w:rPr>
                <w:rFonts w:ascii="Arial" w:hAnsi="Arial" w:cs="Arial"/>
                <w:sz w:val="18"/>
                <w:szCs w:val="18"/>
                <w:lang w:val="en-GB"/>
              </w:rPr>
              <w:t xml:space="preserve">from slot boundary </w:t>
            </w:r>
            <w:r w:rsidRPr="00214AA4">
              <w:rPr>
                <w:rFonts w:ascii="Arial" w:hAnsi="Arial" w:cs="Arial"/>
                <w:sz w:val="18"/>
                <w:szCs w:val="18"/>
                <w:lang w:val="en-GB"/>
              </w:rPr>
              <w:t>[us]</w:t>
            </w:r>
          </w:p>
        </w:tc>
        <w:tc>
          <w:tcPr>
            <w:tcW w:w="1034" w:type="dxa"/>
          </w:tcPr>
          <w:p w14:paraId="724EA972"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lang w:val="en-GB"/>
              </w:rPr>
              <w:t>Delay [slots]</w:t>
            </w:r>
          </w:p>
        </w:tc>
        <w:tc>
          <w:tcPr>
            <w:tcW w:w="1034" w:type="dxa"/>
          </w:tcPr>
          <w:p w14:paraId="4EC77811"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lang w:val="en-GB"/>
              </w:rPr>
              <w:t xml:space="preserve">Delay </w:t>
            </w:r>
            <w:r>
              <w:rPr>
                <w:rFonts w:ascii="Arial" w:hAnsi="Arial" w:cs="Arial"/>
                <w:sz w:val="18"/>
                <w:szCs w:val="18"/>
                <w:lang w:val="en-GB"/>
              </w:rPr>
              <w:t xml:space="preserve">from slot boundary </w:t>
            </w:r>
            <w:r w:rsidRPr="00214AA4">
              <w:rPr>
                <w:rFonts w:ascii="Arial" w:hAnsi="Arial" w:cs="Arial"/>
                <w:sz w:val="18"/>
                <w:szCs w:val="18"/>
                <w:lang w:val="en-GB"/>
              </w:rPr>
              <w:t>[us]</w:t>
            </w:r>
          </w:p>
        </w:tc>
        <w:tc>
          <w:tcPr>
            <w:tcW w:w="1034" w:type="dxa"/>
          </w:tcPr>
          <w:p w14:paraId="5556158B"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lang w:val="en-GB"/>
              </w:rPr>
              <w:t>Delay [slots]</w:t>
            </w:r>
          </w:p>
        </w:tc>
        <w:tc>
          <w:tcPr>
            <w:tcW w:w="1033" w:type="dxa"/>
          </w:tcPr>
          <w:p w14:paraId="62854884"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lang w:val="en-GB"/>
              </w:rPr>
              <w:t xml:space="preserve">Delay </w:t>
            </w:r>
            <w:r>
              <w:rPr>
                <w:rFonts w:ascii="Arial" w:hAnsi="Arial" w:cs="Arial"/>
                <w:sz w:val="18"/>
                <w:szCs w:val="18"/>
                <w:lang w:val="en-GB"/>
              </w:rPr>
              <w:t xml:space="preserve">from slot boundary </w:t>
            </w:r>
            <w:r w:rsidRPr="00214AA4">
              <w:rPr>
                <w:rFonts w:ascii="Arial" w:hAnsi="Arial" w:cs="Arial"/>
                <w:sz w:val="18"/>
                <w:szCs w:val="18"/>
                <w:lang w:val="en-GB"/>
              </w:rPr>
              <w:t>[us]</w:t>
            </w:r>
          </w:p>
        </w:tc>
        <w:tc>
          <w:tcPr>
            <w:tcW w:w="1034" w:type="dxa"/>
          </w:tcPr>
          <w:p w14:paraId="2E3BD3AF"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lang w:val="en-GB"/>
              </w:rPr>
              <w:t>Delay [slots]</w:t>
            </w:r>
          </w:p>
        </w:tc>
        <w:tc>
          <w:tcPr>
            <w:tcW w:w="1034" w:type="dxa"/>
          </w:tcPr>
          <w:p w14:paraId="4834B159"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lang w:val="en-GB"/>
              </w:rPr>
              <w:t xml:space="preserve">Delay </w:t>
            </w:r>
            <w:r>
              <w:rPr>
                <w:rFonts w:ascii="Arial" w:hAnsi="Arial" w:cs="Arial"/>
                <w:sz w:val="18"/>
                <w:szCs w:val="18"/>
                <w:lang w:val="en-GB"/>
              </w:rPr>
              <w:t xml:space="preserve">from slot boundary </w:t>
            </w:r>
            <w:r w:rsidRPr="00214AA4">
              <w:rPr>
                <w:rFonts w:ascii="Arial" w:hAnsi="Arial" w:cs="Arial"/>
                <w:sz w:val="18"/>
                <w:szCs w:val="18"/>
                <w:lang w:val="en-GB"/>
              </w:rPr>
              <w:t>[us]</w:t>
            </w:r>
          </w:p>
        </w:tc>
        <w:tc>
          <w:tcPr>
            <w:tcW w:w="1034" w:type="dxa"/>
          </w:tcPr>
          <w:p w14:paraId="288475D4"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lang w:val="en-GB"/>
              </w:rPr>
              <w:t>Delay [slots]</w:t>
            </w:r>
          </w:p>
        </w:tc>
      </w:tr>
      <w:tr w:rsidR="00AE5735" w14:paraId="1D080843" w14:textId="77777777" w:rsidTr="00041A8E">
        <w:tc>
          <w:tcPr>
            <w:tcW w:w="484" w:type="dxa"/>
          </w:tcPr>
          <w:p w14:paraId="7F23C722"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rPr>
              <w:t>0</w:t>
            </w:r>
          </w:p>
        </w:tc>
        <w:tc>
          <w:tcPr>
            <w:tcW w:w="863" w:type="dxa"/>
          </w:tcPr>
          <w:p w14:paraId="1A9B59AA"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rPr>
              <w:t>1</w:t>
            </w:r>
          </w:p>
        </w:tc>
        <w:tc>
          <w:tcPr>
            <w:tcW w:w="1033" w:type="dxa"/>
          </w:tcPr>
          <w:p w14:paraId="54CBA167"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816</w:t>
            </w:r>
          </w:p>
        </w:tc>
        <w:tc>
          <w:tcPr>
            <w:tcW w:w="1034" w:type="dxa"/>
            <w:vAlign w:val="bottom"/>
          </w:tcPr>
          <w:p w14:paraId="22FBD3AC"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1</w:t>
            </w:r>
          </w:p>
        </w:tc>
        <w:tc>
          <w:tcPr>
            <w:tcW w:w="1034" w:type="dxa"/>
          </w:tcPr>
          <w:p w14:paraId="31F42C80"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616</w:t>
            </w:r>
          </w:p>
        </w:tc>
        <w:tc>
          <w:tcPr>
            <w:tcW w:w="1034" w:type="dxa"/>
            <w:vAlign w:val="bottom"/>
          </w:tcPr>
          <w:p w14:paraId="7F5BFB1F"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1</w:t>
            </w:r>
          </w:p>
        </w:tc>
        <w:tc>
          <w:tcPr>
            <w:tcW w:w="1033" w:type="dxa"/>
          </w:tcPr>
          <w:p w14:paraId="06BDBF30"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2216</w:t>
            </w:r>
          </w:p>
        </w:tc>
        <w:tc>
          <w:tcPr>
            <w:tcW w:w="1034" w:type="dxa"/>
            <w:vAlign w:val="bottom"/>
          </w:tcPr>
          <w:p w14:paraId="385C4FB5"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3</w:t>
            </w:r>
          </w:p>
        </w:tc>
        <w:tc>
          <w:tcPr>
            <w:tcW w:w="1034" w:type="dxa"/>
          </w:tcPr>
          <w:p w14:paraId="486AA03B"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1166</w:t>
            </w:r>
          </w:p>
        </w:tc>
        <w:tc>
          <w:tcPr>
            <w:tcW w:w="1034" w:type="dxa"/>
            <w:vAlign w:val="bottom"/>
          </w:tcPr>
          <w:p w14:paraId="3D91CA3B"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2</w:t>
            </w:r>
          </w:p>
        </w:tc>
      </w:tr>
      <w:tr w:rsidR="00AE5735" w14:paraId="2B1F7F5A" w14:textId="77777777" w:rsidTr="00041A8E">
        <w:tc>
          <w:tcPr>
            <w:tcW w:w="484" w:type="dxa"/>
          </w:tcPr>
          <w:p w14:paraId="5831A91C"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rPr>
              <w:t>1</w:t>
            </w:r>
          </w:p>
        </w:tc>
        <w:tc>
          <w:tcPr>
            <w:tcW w:w="863" w:type="dxa"/>
          </w:tcPr>
          <w:p w14:paraId="04318EE9"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rPr>
              <w:t>0.5</w:t>
            </w:r>
          </w:p>
        </w:tc>
        <w:tc>
          <w:tcPr>
            <w:tcW w:w="1033" w:type="dxa"/>
          </w:tcPr>
          <w:p w14:paraId="7C443E28"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708</w:t>
            </w:r>
          </w:p>
        </w:tc>
        <w:tc>
          <w:tcPr>
            <w:tcW w:w="1034" w:type="dxa"/>
            <w:vAlign w:val="bottom"/>
          </w:tcPr>
          <w:p w14:paraId="6111899A"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2</w:t>
            </w:r>
          </w:p>
        </w:tc>
        <w:tc>
          <w:tcPr>
            <w:tcW w:w="1034" w:type="dxa"/>
          </w:tcPr>
          <w:p w14:paraId="78D8C98F"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508</w:t>
            </w:r>
          </w:p>
        </w:tc>
        <w:tc>
          <w:tcPr>
            <w:tcW w:w="1034" w:type="dxa"/>
            <w:vAlign w:val="bottom"/>
          </w:tcPr>
          <w:p w14:paraId="2FB97361"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2</w:t>
            </w:r>
          </w:p>
        </w:tc>
        <w:tc>
          <w:tcPr>
            <w:tcW w:w="1033" w:type="dxa"/>
          </w:tcPr>
          <w:p w14:paraId="788C1099"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2108</w:t>
            </w:r>
          </w:p>
        </w:tc>
        <w:tc>
          <w:tcPr>
            <w:tcW w:w="1034" w:type="dxa"/>
            <w:vAlign w:val="bottom"/>
          </w:tcPr>
          <w:p w14:paraId="3065BEE9"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5</w:t>
            </w:r>
          </w:p>
        </w:tc>
        <w:tc>
          <w:tcPr>
            <w:tcW w:w="1034" w:type="dxa"/>
          </w:tcPr>
          <w:p w14:paraId="4A59B7E7"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1058</w:t>
            </w:r>
          </w:p>
        </w:tc>
        <w:tc>
          <w:tcPr>
            <w:tcW w:w="1034" w:type="dxa"/>
            <w:vAlign w:val="bottom"/>
          </w:tcPr>
          <w:p w14:paraId="6EF0E8CA"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3</w:t>
            </w:r>
          </w:p>
        </w:tc>
      </w:tr>
      <w:tr w:rsidR="00AE5735" w14:paraId="0AC08AC2" w14:textId="77777777" w:rsidTr="00041A8E">
        <w:tc>
          <w:tcPr>
            <w:tcW w:w="484" w:type="dxa"/>
          </w:tcPr>
          <w:p w14:paraId="72655DCF"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rPr>
              <w:t>2</w:t>
            </w:r>
          </w:p>
        </w:tc>
        <w:tc>
          <w:tcPr>
            <w:tcW w:w="863" w:type="dxa"/>
          </w:tcPr>
          <w:p w14:paraId="35CCBE4B"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rPr>
              <w:t>0.25</w:t>
            </w:r>
          </w:p>
        </w:tc>
        <w:tc>
          <w:tcPr>
            <w:tcW w:w="1033" w:type="dxa"/>
          </w:tcPr>
          <w:p w14:paraId="0AAD12E6"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654</w:t>
            </w:r>
          </w:p>
        </w:tc>
        <w:tc>
          <w:tcPr>
            <w:tcW w:w="1034" w:type="dxa"/>
            <w:vAlign w:val="bottom"/>
          </w:tcPr>
          <w:p w14:paraId="2CBAB841"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3</w:t>
            </w:r>
          </w:p>
        </w:tc>
        <w:tc>
          <w:tcPr>
            <w:tcW w:w="1034" w:type="dxa"/>
          </w:tcPr>
          <w:p w14:paraId="123B6005"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454</w:t>
            </w:r>
          </w:p>
        </w:tc>
        <w:tc>
          <w:tcPr>
            <w:tcW w:w="1034" w:type="dxa"/>
            <w:vAlign w:val="bottom"/>
          </w:tcPr>
          <w:p w14:paraId="0ADF6175"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2</w:t>
            </w:r>
          </w:p>
        </w:tc>
        <w:tc>
          <w:tcPr>
            <w:tcW w:w="1033" w:type="dxa"/>
          </w:tcPr>
          <w:p w14:paraId="36AA7D7A"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2054</w:t>
            </w:r>
          </w:p>
        </w:tc>
        <w:tc>
          <w:tcPr>
            <w:tcW w:w="1034" w:type="dxa"/>
            <w:vAlign w:val="bottom"/>
          </w:tcPr>
          <w:p w14:paraId="459C7F19"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9</w:t>
            </w:r>
          </w:p>
        </w:tc>
        <w:tc>
          <w:tcPr>
            <w:tcW w:w="1034" w:type="dxa"/>
          </w:tcPr>
          <w:p w14:paraId="1FC4AA64"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1004</w:t>
            </w:r>
          </w:p>
        </w:tc>
        <w:tc>
          <w:tcPr>
            <w:tcW w:w="1034" w:type="dxa"/>
            <w:vAlign w:val="bottom"/>
          </w:tcPr>
          <w:p w14:paraId="56C97CAB"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5</w:t>
            </w:r>
          </w:p>
        </w:tc>
      </w:tr>
      <w:tr w:rsidR="00AE5735" w14:paraId="2F506636" w14:textId="77777777" w:rsidTr="00041A8E">
        <w:tc>
          <w:tcPr>
            <w:tcW w:w="484" w:type="dxa"/>
          </w:tcPr>
          <w:p w14:paraId="1797F7C4"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rPr>
              <w:t>3</w:t>
            </w:r>
          </w:p>
        </w:tc>
        <w:tc>
          <w:tcPr>
            <w:tcW w:w="863" w:type="dxa"/>
          </w:tcPr>
          <w:p w14:paraId="3C08D206"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rPr>
              <w:t>0.125</w:t>
            </w:r>
          </w:p>
        </w:tc>
        <w:tc>
          <w:tcPr>
            <w:tcW w:w="1033" w:type="dxa"/>
          </w:tcPr>
          <w:p w14:paraId="396E1662"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627</w:t>
            </w:r>
          </w:p>
        </w:tc>
        <w:tc>
          <w:tcPr>
            <w:tcW w:w="1034" w:type="dxa"/>
            <w:vAlign w:val="bottom"/>
          </w:tcPr>
          <w:p w14:paraId="4F5D7E26"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6</w:t>
            </w:r>
          </w:p>
        </w:tc>
        <w:tc>
          <w:tcPr>
            <w:tcW w:w="1034" w:type="dxa"/>
          </w:tcPr>
          <w:p w14:paraId="50BD5BC2"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427</w:t>
            </w:r>
          </w:p>
        </w:tc>
        <w:tc>
          <w:tcPr>
            <w:tcW w:w="1034" w:type="dxa"/>
            <w:vAlign w:val="bottom"/>
          </w:tcPr>
          <w:p w14:paraId="0B760728"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4</w:t>
            </w:r>
          </w:p>
        </w:tc>
        <w:tc>
          <w:tcPr>
            <w:tcW w:w="1033" w:type="dxa"/>
          </w:tcPr>
          <w:p w14:paraId="49FD4FAA"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2027</w:t>
            </w:r>
          </w:p>
        </w:tc>
        <w:tc>
          <w:tcPr>
            <w:tcW w:w="1034" w:type="dxa"/>
            <w:vAlign w:val="bottom"/>
          </w:tcPr>
          <w:p w14:paraId="15E60733"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17</w:t>
            </w:r>
          </w:p>
        </w:tc>
        <w:tc>
          <w:tcPr>
            <w:tcW w:w="1034" w:type="dxa"/>
          </w:tcPr>
          <w:p w14:paraId="34AEEC38"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977</w:t>
            </w:r>
          </w:p>
        </w:tc>
        <w:tc>
          <w:tcPr>
            <w:tcW w:w="1034" w:type="dxa"/>
            <w:vAlign w:val="bottom"/>
          </w:tcPr>
          <w:p w14:paraId="35A8FF21"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8</w:t>
            </w:r>
          </w:p>
        </w:tc>
      </w:tr>
    </w:tbl>
    <w:p w14:paraId="3A6DFB90" w14:textId="77777777" w:rsidR="00AE5735" w:rsidRDefault="00AE5735" w:rsidP="00AE5735">
      <w:pPr>
        <w:rPr>
          <w:lang w:val="en-GB"/>
        </w:rPr>
      </w:pPr>
    </w:p>
    <w:p w14:paraId="285883E7" w14:textId="044C955C" w:rsidR="00AE5735" w:rsidRDefault="001149A4" w:rsidP="00AE5735">
      <w:pPr>
        <w:rPr>
          <w:lang w:val="en-GB"/>
        </w:rPr>
      </w:pPr>
      <w:r>
        <w:rPr>
          <w:lang w:val="en-GB"/>
        </w:rPr>
        <w:t>With this discussion, we</w:t>
      </w:r>
      <w:r w:rsidR="00AE5735">
        <w:rPr>
          <w:lang w:val="en-GB"/>
        </w:rPr>
        <w:t xml:space="preserve"> propose the following:</w:t>
      </w:r>
    </w:p>
    <w:p w14:paraId="66C8FE6C" w14:textId="2FAB4181" w:rsidR="00AE5735" w:rsidRDefault="00AE5735" w:rsidP="00AE5735">
      <w:pPr>
        <w:pStyle w:val="RAN4proposal"/>
        <w:rPr>
          <w:lang w:val="en-GB"/>
        </w:rPr>
      </w:pPr>
      <w:r>
        <w:rPr>
          <w:lang w:val="en-GB"/>
        </w:rPr>
        <w:t>For DCI and timer based BWP switching delay</w:t>
      </w:r>
      <w:r w:rsidR="001149A4">
        <w:rPr>
          <w:lang w:val="en-GB"/>
        </w:rPr>
        <w:t xml:space="preserve"> requirement</w:t>
      </w:r>
      <w:r>
        <w:rPr>
          <w:lang w:val="en-GB"/>
        </w:rPr>
        <w:t>, use the following values:</w:t>
      </w:r>
    </w:p>
    <w:tbl>
      <w:tblPr>
        <w:tblStyle w:val="TableGrid"/>
        <w:tblW w:w="0" w:type="auto"/>
        <w:tblInd w:w="765" w:type="dxa"/>
        <w:tblLook w:val="04A0" w:firstRow="1" w:lastRow="0" w:firstColumn="1" w:lastColumn="0" w:noHBand="0" w:noVBand="1"/>
      </w:tblPr>
      <w:tblGrid>
        <w:gridCol w:w="483"/>
        <w:gridCol w:w="863"/>
        <w:gridCol w:w="1626"/>
        <w:gridCol w:w="1701"/>
        <w:gridCol w:w="1701"/>
        <w:gridCol w:w="1701"/>
      </w:tblGrid>
      <w:tr w:rsidR="00AE5735" w14:paraId="5BA30015" w14:textId="77777777" w:rsidTr="00041A8E">
        <w:tc>
          <w:tcPr>
            <w:tcW w:w="483" w:type="dxa"/>
            <w:vAlign w:val="center"/>
          </w:tcPr>
          <w:p w14:paraId="47D55657" w14:textId="77777777" w:rsidR="00AE5735" w:rsidRPr="00214AA4" w:rsidRDefault="00AE5735" w:rsidP="00041A8E">
            <w:pPr>
              <w:jc w:val="center"/>
              <w:rPr>
                <w:rFonts w:ascii="Arial" w:hAnsi="Arial" w:cs="Arial"/>
                <w:b/>
                <w:sz w:val="18"/>
                <w:szCs w:val="18"/>
                <w:lang w:val="en-GB"/>
              </w:rPr>
            </w:pPr>
            <w:r w:rsidRPr="00214AA4">
              <w:rPr>
                <w:rFonts w:ascii="Arial" w:hAnsi="Arial" w:cs="Arial"/>
                <w:b/>
                <w:noProof/>
                <w:sz w:val="18"/>
                <w:szCs w:val="18"/>
              </w:rPr>
              <w:drawing>
                <wp:inline distT="0" distB="0" distL="0" distR="0" wp14:anchorId="7F47FB92" wp14:editId="078B16B0">
                  <wp:extent cx="152400" cy="1524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863" w:type="dxa"/>
            <w:vAlign w:val="center"/>
          </w:tcPr>
          <w:p w14:paraId="5E5E3107" w14:textId="77777777" w:rsidR="00AE5735" w:rsidRPr="00214AA4" w:rsidRDefault="00AE5735" w:rsidP="00041A8E">
            <w:pPr>
              <w:jc w:val="center"/>
              <w:rPr>
                <w:rFonts w:ascii="Arial" w:hAnsi="Arial" w:cs="Arial"/>
                <w:b/>
                <w:sz w:val="18"/>
                <w:szCs w:val="18"/>
                <w:lang w:val="en-GB"/>
              </w:rPr>
            </w:pPr>
            <w:r w:rsidRPr="00214AA4">
              <w:rPr>
                <w:rFonts w:ascii="Arial" w:hAnsi="Arial" w:cs="Arial"/>
                <w:b/>
                <w:sz w:val="18"/>
                <w:szCs w:val="18"/>
              </w:rPr>
              <w:t>NR Slot length (ms)</w:t>
            </w:r>
          </w:p>
        </w:tc>
        <w:tc>
          <w:tcPr>
            <w:tcW w:w="1626" w:type="dxa"/>
            <w:vAlign w:val="center"/>
          </w:tcPr>
          <w:p w14:paraId="5E8BC92F" w14:textId="77777777" w:rsidR="00AE5735" w:rsidRPr="00214AA4" w:rsidRDefault="00AE5735" w:rsidP="00041A8E">
            <w:pPr>
              <w:jc w:val="center"/>
              <w:rPr>
                <w:rFonts w:ascii="Arial" w:hAnsi="Arial" w:cs="Arial"/>
                <w:b/>
                <w:sz w:val="18"/>
                <w:szCs w:val="18"/>
                <w:lang w:val="en-GB"/>
              </w:rPr>
            </w:pPr>
            <w:r w:rsidRPr="00214AA4">
              <w:rPr>
                <w:rFonts w:ascii="Arial" w:hAnsi="Arial" w:cs="Arial"/>
                <w:b/>
                <w:sz w:val="18"/>
                <w:szCs w:val="18"/>
                <w:lang w:val="en-GB"/>
              </w:rPr>
              <w:t>Type 1 UE, Scenario 1, 2, 3</w:t>
            </w:r>
          </w:p>
        </w:tc>
        <w:tc>
          <w:tcPr>
            <w:tcW w:w="1701" w:type="dxa"/>
            <w:vAlign w:val="center"/>
          </w:tcPr>
          <w:p w14:paraId="33B202A4" w14:textId="77777777" w:rsidR="00AE5735" w:rsidRPr="00214AA4" w:rsidRDefault="00AE5735" w:rsidP="00041A8E">
            <w:pPr>
              <w:jc w:val="center"/>
              <w:rPr>
                <w:rFonts w:ascii="Arial" w:hAnsi="Arial" w:cs="Arial"/>
                <w:b/>
                <w:sz w:val="18"/>
                <w:szCs w:val="18"/>
                <w:lang w:val="en-GB"/>
              </w:rPr>
            </w:pPr>
            <w:r w:rsidRPr="00214AA4">
              <w:rPr>
                <w:rFonts w:ascii="Arial" w:hAnsi="Arial" w:cs="Arial"/>
                <w:b/>
                <w:sz w:val="18"/>
                <w:szCs w:val="18"/>
                <w:lang w:val="en-GB"/>
              </w:rPr>
              <w:t>Type 1 UE, Scenario 4</w:t>
            </w:r>
          </w:p>
        </w:tc>
        <w:tc>
          <w:tcPr>
            <w:tcW w:w="1701" w:type="dxa"/>
            <w:vAlign w:val="center"/>
          </w:tcPr>
          <w:p w14:paraId="4F1C1D00" w14:textId="77777777" w:rsidR="00AE5735" w:rsidRPr="00214AA4" w:rsidRDefault="00AE5735" w:rsidP="00041A8E">
            <w:pPr>
              <w:jc w:val="center"/>
              <w:rPr>
                <w:rFonts w:ascii="Arial" w:hAnsi="Arial" w:cs="Arial"/>
                <w:b/>
                <w:sz w:val="18"/>
                <w:szCs w:val="18"/>
                <w:lang w:val="en-GB"/>
              </w:rPr>
            </w:pPr>
            <w:r w:rsidRPr="00214AA4">
              <w:rPr>
                <w:rFonts w:ascii="Arial" w:hAnsi="Arial" w:cs="Arial"/>
                <w:b/>
                <w:sz w:val="18"/>
                <w:szCs w:val="18"/>
                <w:lang w:val="en-GB"/>
              </w:rPr>
              <w:t>Type 2 UE, Scenario 1, 2, 3</w:t>
            </w:r>
          </w:p>
        </w:tc>
        <w:tc>
          <w:tcPr>
            <w:tcW w:w="1701" w:type="dxa"/>
            <w:vAlign w:val="center"/>
          </w:tcPr>
          <w:p w14:paraId="04917786" w14:textId="77777777" w:rsidR="00AE5735" w:rsidRPr="00214AA4" w:rsidRDefault="00AE5735" w:rsidP="00041A8E">
            <w:pPr>
              <w:jc w:val="center"/>
              <w:rPr>
                <w:rFonts w:ascii="Arial" w:hAnsi="Arial" w:cs="Arial"/>
                <w:b/>
                <w:sz w:val="18"/>
                <w:szCs w:val="18"/>
                <w:lang w:val="en-GB"/>
              </w:rPr>
            </w:pPr>
            <w:r w:rsidRPr="00214AA4">
              <w:rPr>
                <w:rFonts w:ascii="Arial" w:hAnsi="Arial" w:cs="Arial"/>
                <w:b/>
                <w:sz w:val="18"/>
                <w:szCs w:val="18"/>
                <w:lang w:val="en-GB"/>
              </w:rPr>
              <w:t>Type 2 UE, Scenario 4</w:t>
            </w:r>
          </w:p>
        </w:tc>
      </w:tr>
      <w:tr w:rsidR="00AE5735" w14:paraId="7F52E99E" w14:textId="77777777" w:rsidTr="00041A8E">
        <w:tc>
          <w:tcPr>
            <w:tcW w:w="483" w:type="dxa"/>
          </w:tcPr>
          <w:p w14:paraId="17470C82" w14:textId="77777777" w:rsidR="00AE5735" w:rsidRPr="00214AA4" w:rsidRDefault="00AE5735" w:rsidP="00041A8E">
            <w:pPr>
              <w:jc w:val="center"/>
              <w:rPr>
                <w:rFonts w:ascii="Arial" w:hAnsi="Arial" w:cs="Arial"/>
                <w:sz w:val="18"/>
                <w:szCs w:val="18"/>
              </w:rPr>
            </w:pPr>
          </w:p>
        </w:tc>
        <w:tc>
          <w:tcPr>
            <w:tcW w:w="863" w:type="dxa"/>
          </w:tcPr>
          <w:p w14:paraId="1BB799C4" w14:textId="77777777" w:rsidR="00AE5735" w:rsidRPr="00214AA4" w:rsidRDefault="00AE5735" w:rsidP="00041A8E">
            <w:pPr>
              <w:jc w:val="center"/>
              <w:rPr>
                <w:rFonts w:ascii="Arial" w:hAnsi="Arial" w:cs="Arial"/>
                <w:sz w:val="18"/>
                <w:szCs w:val="18"/>
              </w:rPr>
            </w:pPr>
          </w:p>
        </w:tc>
        <w:tc>
          <w:tcPr>
            <w:tcW w:w="1626" w:type="dxa"/>
          </w:tcPr>
          <w:p w14:paraId="6D92B311"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lang w:val="en-GB"/>
              </w:rPr>
              <w:t>Delay [slots]</w:t>
            </w:r>
          </w:p>
        </w:tc>
        <w:tc>
          <w:tcPr>
            <w:tcW w:w="1701" w:type="dxa"/>
          </w:tcPr>
          <w:p w14:paraId="2FEC7C3A"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lang w:val="en-GB"/>
              </w:rPr>
              <w:t>Delay [slots]</w:t>
            </w:r>
          </w:p>
        </w:tc>
        <w:tc>
          <w:tcPr>
            <w:tcW w:w="1701" w:type="dxa"/>
          </w:tcPr>
          <w:p w14:paraId="1E668A06"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lang w:val="en-GB"/>
              </w:rPr>
              <w:t>Delay [slots]</w:t>
            </w:r>
          </w:p>
        </w:tc>
        <w:tc>
          <w:tcPr>
            <w:tcW w:w="1701" w:type="dxa"/>
          </w:tcPr>
          <w:p w14:paraId="5EC9D08F"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lang w:val="en-GB"/>
              </w:rPr>
              <w:t>Delay [slots]</w:t>
            </w:r>
          </w:p>
        </w:tc>
      </w:tr>
      <w:tr w:rsidR="00AE5735" w14:paraId="58C504F8" w14:textId="77777777" w:rsidTr="00041A8E">
        <w:tc>
          <w:tcPr>
            <w:tcW w:w="483" w:type="dxa"/>
          </w:tcPr>
          <w:p w14:paraId="2AD95347"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rPr>
              <w:t>0</w:t>
            </w:r>
          </w:p>
        </w:tc>
        <w:tc>
          <w:tcPr>
            <w:tcW w:w="863" w:type="dxa"/>
          </w:tcPr>
          <w:p w14:paraId="6E5C8E73"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rPr>
              <w:t>1</w:t>
            </w:r>
          </w:p>
        </w:tc>
        <w:tc>
          <w:tcPr>
            <w:tcW w:w="1626" w:type="dxa"/>
            <w:vAlign w:val="bottom"/>
          </w:tcPr>
          <w:p w14:paraId="6FD1D2CD"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1</w:t>
            </w:r>
          </w:p>
        </w:tc>
        <w:tc>
          <w:tcPr>
            <w:tcW w:w="1701" w:type="dxa"/>
            <w:vAlign w:val="bottom"/>
          </w:tcPr>
          <w:p w14:paraId="5F90FA95"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1</w:t>
            </w:r>
          </w:p>
        </w:tc>
        <w:tc>
          <w:tcPr>
            <w:tcW w:w="1701" w:type="dxa"/>
            <w:vAlign w:val="bottom"/>
          </w:tcPr>
          <w:p w14:paraId="57EA068F"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3</w:t>
            </w:r>
          </w:p>
        </w:tc>
        <w:tc>
          <w:tcPr>
            <w:tcW w:w="1701" w:type="dxa"/>
            <w:vAlign w:val="bottom"/>
          </w:tcPr>
          <w:p w14:paraId="480A9362"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2</w:t>
            </w:r>
          </w:p>
        </w:tc>
      </w:tr>
      <w:tr w:rsidR="00AE5735" w14:paraId="7ED8447E" w14:textId="77777777" w:rsidTr="00041A8E">
        <w:tc>
          <w:tcPr>
            <w:tcW w:w="483" w:type="dxa"/>
          </w:tcPr>
          <w:p w14:paraId="195C8D4A"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rPr>
              <w:t>1</w:t>
            </w:r>
          </w:p>
        </w:tc>
        <w:tc>
          <w:tcPr>
            <w:tcW w:w="863" w:type="dxa"/>
          </w:tcPr>
          <w:p w14:paraId="0EA518A4"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rPr>
              <w:t>0.5</w:t>
            </w:r>
          </w:p>
        </w:tc>
        <w:tc>
          <w:tcPr>
            <w:tcW w:w="1626" w:type="dxa"/>
            <w:vAlign w:val="bottom"/>
          </w:tcPr>
          <w:p w14:paraId="6EAF0D5D"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2</w:t>
            </w:r>
          </w:p>
        </w:tc>
        <w:tc>
          <w:tcPr>
            <w:tcW w:w="1701" w:type="dxa"/>
            <w:vAlign w:val="bottom"/>
          </w:tcPr>
          <w:p w14:paraId="4CA0950E"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2</w:t>
            </w:r>
          </w:p>
        </w:tc>
        <w:tc>
          <w:tcPr>
            <w:tcW w:w="1701" w:type="dxa"/>
            <w:vAlign w:val="bottom"/>
          </w:tcPr>
          <w:p w14:paraId="4783260F"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5</w:t>
            </w:r>
          </w:p>
        </w:tc>
        <w:tc>
          <w:tcPr>
            <w:tcW w:w="1701" w:type="dxa"/>
            <w:vAlign w:val="bottom"/>
          </w:tcPr>
          <w:p w14:paraId="0D57DD7A"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3</w:t>
            </w:r>
          </w:p>
        </w:tc>
      </w:tr>
      <w:tr w:rsidR="00AE5735" w14:paraId="63BD0226" w14:textId="77777777" w:rsidTr="00041A8E">
        <w:tc>
          <w:tcPr>
            <w:tcW w:w="483" w:type="dxa"/>
          </w:tcPr>
          <w:p w14:paraId="49C8984C"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rPr>
              <w:t>2</w:t>
            </w:r>
          </w:p>
        </w:tc>
        <w:tc>
          <w:tcPr>
            <w:tcW w:w="863" w:type="dxa"/>
          </w:tcPr>
          <w:p w14:paraId="2F8785A2"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rPr>
              <w:t>0.25</w:t>
            </w:r>
          </w:p>
        </w:tc>
        <w:tc>
          <w:tcPr>
            <w:tcW w:w="1626" w:type="dxa"/>
            <w:vAlign w:val="bottom"/>
          </w:tcPr>
          <w:p w14:paraId="7D1E7283"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3</w:t>
            </w:r>
          </w:p>
        </w:tc>
        <w:tc>
          <w:tcPr>
            <w:tcW w:w="1701" w:type="dxa"/>
            <w:vAlign w:val="bottom"/>
          </w:tcPr>
          <w:p w14:paraId="141C038E"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2</w:t>
            </w:r>
          </w:p>
        </w:tc>
        <w:tc>
          <w:tcPr>
            <w:tcW w:w="1701" w:type="dxa"/>
            <w:vAlign w:val="bottom"/>
          </w:tcPr>
          <w:p w14:paraId="11C10AB9"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9</w:t>
            </w:r>
          </w:p>
        </w:tc>
        <w:tc>
          <w:tcPr>
            <w:tcW w:w="1701" w:type="dxa"/>
            <w:vAlign w:val="bottom"/>
          </w:tcPr>
          <w:p w14:paraId="35C50E29"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5</w:t>
            </w:r>
          </w:p>
        </w:tc>
      </w:tr>
      <w:tr w:rsidR="00AE5735" w14:paraId="24A95FE6" w14:textId="77777777" w:rsidTr="00041A8E">
        <w:tc>
          <w:tcPr>
            <w:tcW w:w="483" w:type="dxa"/>
          </w:tcPr>
          <w:p w14:paraId="6508620A"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rPr>
              <w:t>3</w:t>
            </w:r>
          </w:p>
        </w:tc>
        <w:tc>
          <w:tcPr>
            <w:tcW w:w="863" w:type="dxa"/>
          </w:tcPr>
          <w:p w14:paraId="0DA60B9A" w14:textId="77777777" w:rsidR="00AE5735" w:rsidRPr="00214AA4" w:rsidRDefault="00AE5735" w:rsidP="00041A8E">
            <w:pPr>
              <w:jc w:val="center"/>
              <w:rPr>
                <w:rFonts w:ascii="Arial" w:hAnsi="Arial" w:cs="Arial"/>
                <w:sz w:val="18"/>
                <w:szCs w:val="18"/>
                <w:lang w:val="en-GB"/>
              </w:rPr>
            </w:pPr>
            <w:r w:rsidRPr="00214AA4">
              <w:rPr>
                <w:rFonts w:ascii="Arial" w:hAnsi="Arial" w:cs="Arial"/>
                <w:sz w:val="18"/>
                <w:szCs w:val="18"/>
              </w:rPr>
              <w:t>0.125</w:t>
            </w:r>
          </w:p>
        </w:tc>
        <w:tc>
          <w:tcPr>
            <w:tcW w:w="1626" w:type="dxa"/>
            <w:vAlign w:val="bottom"/>
          </w:tcPr>
          <w:p w14:paraId="3617D0FD"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6</w:t>
            </w:r>
          </w:p>
        </w:tc>
        <w:tc>
          <w:tcPr>
            <w:tcW w:w="1701" w:type="dxa"/>
            <w:vAlign w:val="bottom"/>
          </w:tcPr>
          <w:p w14:paraId="4AB93CAC"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4</w:t>
            </w:r>
          </w:p>
        </w:tc>
        <w:tc>
          <w:tcPr>
            <w:tcW w:w="1701" w:type="dxa"/>
            <w:vAlign w:val="bottom"/>
          </w:tcPr>
          <w:p w14:paraId="3F596641"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17</w:t>
            </w:r>
          </w:p>
        </w:tc>
        <w:tc>
          <w:tcPr>
            <w:tcW w:w="1701" w:type="dxa"/>
            <w:vAlign w:val="bottom"/>
          </w:tcPr>
          <w:p w14:paraId="63B4A84C" w14:textId="77777777" w:rsidR="00AE5735" w:rsidRPr="00214AA4" w:rsidRDefault="00AE5735" w:rsidP="00041A8E">
            <w:pPr>
              <w:jc w:val="center"/>
              <w:rPr>
                <w:rFonts w:ascii="Arial" w:hAnsi="Arial" w:cs="Arial"/>
                <w:sz w:val="18"/>
                <w:szCs w:val="18"/>
                <w:lang w:val="en-GB"/>
              </w:rPr>
            </w:pPr>
            <w:r w:rsidRPr="00214AA4">
              <w:rPr>
                <w:rFonts w:ascii="Arial" w:hAnsi="Arial" w:cs="Arial"/>
                <w:color w:val="000000"/>
                <w:sz w:val="18"/>
                <w:szCs w:val="18"/>
              </w:rPr>
              <w:t>8</w:t>
            </w:r>
          </w:p>
        </w:tc>
      </w:tr>
    </w:tbl>
    <w:p w14:paraId="10D0D0CD" w14:textId="77777777" w:rsidR="00AE5735" w:rsidRDefault="00AE5735" w:rsidP="00AE5735">
      <w:pPr>
        <w:rPr>
          <w:lang w:val="en-GB"/>
        </w:rPr>
      </w:pPr>
    </w:p>
    <w:p w14:paraId="35E6FE92" w14:textId="77777777" w:rsidR="00887737" w:rsidRPr="00AE5735" w:rsidRDefault="00887737" w:rsidP="00AE5735">
      <w:pPr>
        <w:rPr>
          <w:lang w:val="en-GB"/>
        </w:rPr>
      </w:pPr>
      <w:r>
        <w:rPr>
          <w:lang w:val="en-GB"/>
        </w:rPr>
        <w:t>It was still left open whether BWP switch due to change in only BB parameters is of the shorter duration (as for Scenario 4) or whether some parameters require a longer BWP switching delay (as for Scenario 1, 2 and 3). Once the analysis has been completed, this also needs to be clarified in the requirements.</w:t>
      </w:r>
    </w:p>
    <w:p w14:paraId="79C1066B" w14:textId="77777777" w:rsidR="00F23855" w:rsidRPr="00F23855" w:rsidRDefault="00DA0ED9" w:rsidP="00F23855">
      <w:pPr>
        <w:pStyle w:val="RAN4H1"/>
      </w:pPr>
      <w:r>
        <w:t>Interruptions</w:t>
      </w:r>
    </w:p>
    <w:p w14:paraId="7D203FD6" w14:textId="77777777" w:rsidR="00F23855" w:rsidRDefault="00F23855" w:rsidP="00F23855">
      <w:r>
        <w:t>Considering interruption duration, as we have proposed in the previous meetings, we do not think other cells need to be interrupted for the whole BWP switching delay duration. In our view, interruption duration should be based on the RF related actions during BWP switch, and should thus be of similar duration as other NR interruptions. Interruption duration similar to interruptions caused by SCell activation delay seem reasonable and we propose to use these values.</w:t>
      </w:r>
    </w:p>
    <w:p w14:paraId="593DF671" w14:textId="77777777" w:rsidR="00F23855" w:rsidRDefault="00F23855" w:rsidP="00F23855">
      <w:pPr>
        <w:pStyle w:val="RAN4proposal"/>
      </w:pPr>
      <w:r>
        <w:t>Interruption duration for SCell activati</w:t>
      </w:r>
      <w:r w:rsidR="001E0CB1">
        <w:t>on is reused for BWP switching.</w:t>
      </w:r>
    </w:p>
    <w:p w14:paraId="39243713" w14:textId="77777777" w:rsidR="000D0566" w:rsidRDefault="000D0566" w:rsidP="000D0566">
      <w:r>
        <w:t>It should also be clarified in the interruption requirements, which BWP switching scenarios cause interruptions. Earlier we have proposed that interruptions are not needed due to change in only BB parameters, and we continue to propose this. Requirements should be clarified when RAN4 has reached a conclusion on the issue.</w:t>
      </w:r>
    </w:p>
    <w:p w14:paraId="3D61AE91" w14:textId="77777777" w:rsidR="000D0566" w:rsidRPr="000D0566" w:rsidRDefault="000D0566" w:rsidP="000D0566">
      <w:pPr>
        <w:pStyle w:val="RAN4proposal"/>
      </w:pPr>
      <w:r>
        <w:t>Interruptions are not allowed when BWP switching includes change in only BB parameters without changing BW or center frequency, which needs to be clarified in interruption requirements.</w:t>
      </w:r>
    </w:p>
    <w:p w14:paraId="6772C245" w14:textId="77777777" w:rsidR="00AE5735" w:rsidRDefault="00AE5735" w:rsidP="00AE5735">
      <w:pPr>
        <w:pStyle w:val="RAN4H1"/>
      </w:pPr>
      <w:r>
        <w:t>RRC based BWP switching</w:t>
      </w:r>
    </w:p>
    <w:p w14:paraId="3893C9DA" w14:textId="46EE84DC" w:rsidR="00C803EE" w:rsidRDefault="00C803EE" w:rsidP="0070077A">
      <w:r>
        <w:t xml:space="preserve">In the Montreal AH there was no time to discuss RRC based BWP switching, so in the following we will repeat the discussion from </w:t>
      </w:r>
      <w:r w:rsidR="001149A4">
        <w:t>our contribution from the last meeting.</w:t>
      </w:r>
    </w:p>
    <w:p w14:paraId="18B3828B" w14:textId="77777777" w:rsidR="0070077A" w:rsidRDefault="0070077A" w:rsidP="0070077A">
      <w:r>
        <w:t xml:space="preserve">Due to the introduction of various BWP capabilities by RAN1 feature list </w:t>
      </w:r>
      <w:r w:rsidRPr="00CE5B5D">
        <w:t xml:space="preserve">(see </w:t>
      </w:r>
      <w:hyperlink r:id="rId10" w:history="1">
        <w:r w:rsidRPr="00F55802">
          <w:t>RP-181484</w:t>
        </w:r>
      </w:hyperlink>
      <w:r w:rsidRPr="00CE5B5D">
        <w:t>)</w:t>
      </w:r>
      <w:r>
        <w:t>, RAN2 has been discussing on the details of RRC-based BWP switching (i.e. 6-1 in the capability definitions) in addition to the DCI-based BWP switching. Therefore, RAN4 should also define requirements for those cases, especially since the 6-1 is a mandatory UE capability.</w:t>
      </w:r>
    </w:p>
    <w:p w14:paraId="39A3D9E0" w14:textId="77777777" w:rsidR="0070077A" w:rsidRDefault="0070077A" w:rsidP="0070077A">
      <w:r>
        <w:t xml:space="preserve">There are two obvious cases where RAN4 requirements seem needed: </w:t>
      </w:r>
    </w:p>
    <w:p w14:paraId="5DEA35DF" w14:textId="77777777" w:rsidR="0070077A" w:rsidRDefault="0070077A" w:rsidP="0070077A">
      <w:r>
        <w:lastRenderedPageBreak/>
        <w:t xml:space="preserve">1) Handover </w:t>
      </w:r>
    </w:p>
    <w:p w14:paraId="7D21A17F" w14:textId="77777777" w:rsidR="0070077A" w:rsidRDefault="0070077A" w:rsidP="0070077A">
      <w:r>
        <w:t xml:space="preserve">2) BWP change via RRC. </w:t>
      </w:r>
    </w:p>
    <w:p w14:paraId="0E3D7E26" w14:textId="77777777" w:rsidR="0070077A" w:rsidRDefault="0070077A" w:rsidP="0070077A">
      <w:r>
        <w:t>We note that RAN2#102 has made the following general agreements (</w:t>
      </w:r>
      <w:r w:rsidRPr="00F55802">
        <w:t xml:space="preserve">based on </w:t>
      </w:r>
      <w:hyperlink r:id="rId11" w:history="1">
        <w:r w:rsidRPr="00F55802">
          <w:t>R2-1808645</w:t>
        </w:r>
      </w:hyperlink>
      <w:r w:rsidRPr="00F55802">
        <w:t xml:space="preserve"> and </w:t>
      </w:r>
      <w:hyperlink r:id="rId12" w:history="1">
        <w:r w:rsidRPr="00F55802">
          <w:t>R2-1808587</w:t>
        </w:r>
      </w:hyperlink>
      <w:r w:rsidRPr="00F55802">
        <w:t>) concerning</w:t>
      </w:r>
      <w:r>
        <w:t xml:space="preserve"> BWP operations: </w:t>
      </w:r>
    </w:p>
    <w:p w14:paraId="681D38C4" w14:textId="77777777" w:rsidR="0070077A" w:rsidRPr="00F55802" w:rsidRDefault="0070077A" w:rsidP="0070077A">
      <w:pPr>
        <w:pStyle w:val="Doc-text2"/>
        <w:pBdr>
          <w:top w:val="single" w:sz="4" w:space="1" w:color="auto"/>
          <w:left w:val="single" w:sz="4" w:space="4" w:color="auto"/>
          <w:bottom w:val="single" w:sz="4" w:space="1" w:color="auto"/>
          <w:right w:val="single" w:sz="4" w:space="4" w:color="auto"/>
        </w:pBdr>
        <w:rPr>
          <w:sz w:val="18"/>
        </w:rPr>
      </w:pPr>
      <w:r w:rsidRPr="00F55802">
        <w:rPr>
          <w:sz w:val="18"/>
        </w:rPr>
        <w:t>Agreements</w:t>
      </w:r>
    </w:p>
    <w:p w14:paraId="4417A38D" w14:textId="77777777" w:rsidR="0070077A" w:rsidRPr="00F55802" w:rsidRDefault="0070077A" w:rsidP="0070077A">
      <w:pPr>
        <w:pStyle w:val="Doc-text2"/>
        <w:pBdr>
          <w:top w:val="single" w:sz="4" w:space="1" w:color="auto"/>
          <w:left w:val="single" w:sz="4" w:space="4" w:color="auto"/>
          <w:bottom w:val="single" w:sz="4" w:space="1" w:color="auto"/>
          <w:right w:val="single" w:sz="4" w:space="4" w:color="auto"/>
        </w:pBdr>
        <w:rPr>
          <w:sz w:val="18"/>
        </w:rPr>
      </w:pPr>
      <w:r w:rsidRPr="00F55802">
        <w:rPr>
          <w:sz w:val="18"/>
        </w:rPr>
        <w:t xml:space="preserve">1: </w:t>
      </w:r>
      <w:r w:rsidRPr="00F55802">
        <w:rPr>
          <w:sz w:val="18"/>
        </w:rPr>
        <w:tab/>
        <w:t>Upon synchronous reconfiguration (P/SCell addition or handover), UE performs random access on the first active BWP.</w:t>
      </w:r>
    </w:p>
    <w:p w14:paraId="59EA24B9" w14:textId="77777777" w:rsidR="0070077A" w:rsidRPr="00F55802" w:rsidRDefault="0070077A" w:rsidP="0070077A">
      <w:pPr>
        <w:pStyle w:val="Doc-text2"/>
        <w:pBdr>
          <w:top w:val="single" w:sz="4" w:space="1" w:color="auto"/>
          <w:left w:val="single" w:sz="4" w:space="4" w:color="auto"/>
          <w:bottom w:val="single" w:sz="4" w:space="1" w:color="auto"/>
          <w:right w:val="single" w:sz="4" w:space="4" w:color="auto"/>
        </w:pBdr>
        <w:rPr>
          <w:sz w:val="18"/>
        </w:rPr>
      </w:pPr>
      <w:r w:rsidRPr="00F55802">
        <w:rPr>
          <w:sz w:val="18"/>
        </w:rPr>
        <w:t xml:space="preserve">2: </w:t>
      </w:r>
      <w:r w:rsidRPr="00F55802">
        <w:rPr>
          <w:sz w:val="18"/>
        </w:rPr>
        <w:tab/>
        <w:t>In case of synchronous reconfiguration or SCell addition, firstActiveDownlink BWP-Id and firstActiveUplinkBWP-Id are mandatory present (if the Downlink/Uplink exists for that SCell). (Field may be optional and a condition to require it to be present - to be finalised in ASN.1)</w:t>
      </w:r>
    </w:p>
    <w:p w14:paraId="068FB882" w14:textId="77777777" w:rsidR="0070077A" w:rsidRPr="00F55802" w:rsidRDefault="0070077A" w:rsidP="0070077A">
      <w:pPr>
        <w:pStyle w:val="Doc-text2"/>
        <w:pBdr>
          <w:top w:val="single" w:sz="4" w:space="1" w:color="auto"/>
          <w:left w:val="single" w:sz="4" w:space="4" w:color="auto"/>
          <w:bottom w:val="single" w:sz="4" w:space="1" w:color="auto"/>
          <w:right w:val="single" w:sz="4" w:space="4" w:color="auto"/>
        </w:pBdr>
        <w:rPr>
          <w:sz w:val="18"/>
        </w:rPr>
      </w:pPr>
      <w:r w:rsidRPr="00F55802">
        <w:rPr>
          <w:sz w:val="18"/>
        </w:rPr>
        <w:t xml:space="preserve">3: </w:t>
      </w:r>
      <w:r w:rsidRPr="00F55802">
        <w:rPr>
          <w:sz w:val="18"/>
        </w:rPr>
        <w:tab/>
        <w:t>RAN2 understanding that the common part of initial BWP configured with the dedicated signalling should be the same as initial BWP configured with the MIB+SIB1.</w:t>
      </w:r>
    </w:p>
    <w:p w14:paraId="52A60AE6" w14:textId="77777777" w:rsidR="0070077A" w:rsidRPr="00F55802" w:rsidRDefault="0070077A" w:rsidP="0070077A">
      <w:pPr>
        <w:pStyle w:val="Doc-text2"/>
        <w:rPr>
          <w:sz w:val="18"/>
        </w:rPr>
      </w:pPr>
      <w:r w:rsidRPr="00F55802">
        <w:rPr>
          <w:sz w:val="18"/>
        </w:rPr>
        <w:t>=&gt;</w:t>
      </w:r>
      <w:r w:rsidRPr="00F55802">
        <w:rPr>
          <w:sz w:val="18"/>
        </w:rPr>
        <w:tab/>
        <w:t xml:space="preserve">For SpCells, we will not support the first active in an RRCReconfiguration without sync. </w:t>
      </w:r>
    </w:p>
    <w:p w14:paraId="46FCF1D2" w14:textId="77777777" w:rsidR="0070077A" w:rsidRDefault="0070077A" w:rsidP="0070077A"/>
    <w:p w14:paraId="70D5DE14" w14:textId="77777777" w:rsidR="0070077A" w:rsidRDefault="0070077A" w:rsidP="0070077A">
      <w:r>
        <w:t>These agreements basically state that barring special circumstances, the first active BWP is the BWP used by UE during CONNECTED mode, and the UE does random access towards first active BWP during handover. Further, for PCell and PSCell, BWPs can be changed only via handover. This means that the BWP switching anyway incurs a data interruption, but since such interruptions are part of the normal handover requirements, they could be fully subsumed to those requirements.</w:t>
      </w:r>
    </w:p>
    <w:p w14:paraId="57B58878" w14:textId="77777777" w:rsidR="0070077A" w:rsidRDefault="0070077A" w:rsidP="0070077A">
      <w:pPr>
        <w:pStyle w:val="RAN4observation0"/>
      </w:pPr>
      <w:r>
        <w:t>BWP switching via RRC for PCell and PSCell follows handover procedure, which involves some data interruption.</w:t>
      </w:r>
    </w:p>
    <w:p w14:paraId="6A415050" w14:textId="5927958A" w:rsidR="0070077A" w:rsidRDefault="0070077A" w:rsidP="0070077A">
      <w:r>
        <w:t xml:space="preserve">We </w:t>
      </w:r>
      <w:r w:rsidRPr="00F55802">
        <w:t xml:space="preserve">would also note that there is also a third case for RRC-based BWP switching that was not yet </w:t>
      </w:r>
      <w:r w:rsidR="001149A4">
        <w:t>concluded completely in RAN2</w:t>
      </w:r>
      <w:r w:rsidRPr="00F55802">
        <w:t>: Initial</w:t>
      </w:r>
      <w:r>
        <w:t xml:space="preserve"> access for NR stand-alone. It is currently not clear whether UE could access the first active BWP during initial access or whether it should finish the initial access using only the initial BWP.</w:t>
      </w:r>
    </w:p>
    <w:p w14:paraId="66B2FC67" w14:textId="77777777" w:rsidR="0070077A" w:rsidRDefault="0070077A" w:rsidP="0070077A">
      <w:pPr>
        <w:pStyle w:val="RAN4observation0"/>
      </w:pPr>
      <w:r>
        <w:t>The role of BWP switching during initial access is still unclear in RAN2.</w:t>
      </w:r>
    </w:p>
    <w:p w14:paraId="7B89F878" w14:textId="77777777" w:rsidR="0070077A" w:rsidRPr="00F55802" w:rsidRDefault="0070077A" w:rsidP="0070077A">
      <w:pPr>
        <w:rPr>
          <w:lang w:val="en-GB"/>
        </w:rPr>
      </w:pPr>
      <w:r>
        <w:rPr>
          <w:lang w:val="en-GB"/>
        </w:rPr>
        <w:t>From RAN2 perspective, it is not yet clear whether the UE should switch from initial BWP to first active BWP before or after Msg5 during initial access, which leads to two possible scenarios as shown in Figure 1 below.</w:t>
      </w:r>
    </w:p>
    <w:p w14:paraId="770E19DD" w14:textId="77777777" w:rsidR="0070077A" w:rsidRDefault="0070077A" w:rsidP="0070077A">
      <w:pPr>
        <w:jc w:val="center"/>
      </w:pPr>
      <w:r>
        <w:rPr>
          <w:noProof/>
        </w:rPr>
        <w:drawing>
          <wp:inline distT="0" distB="0" distL="0" distR="0" wp14:anchorId="7DF22125" wp14:editId="4CEE8605">
            <wp:extent cx="3066415" cy="23348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6415" cy="2334895"/>
                    </a:xfrm>
                    <a:prstGeom prst="rect">
                      <a:avLst/>
                    </a:prstGeom>
                    <a:noFill/>
                  </pic:spPr>
                </pic:pic>
              </a:graphicData>
            </a:graphic>
          </wp:inline>
        </w:drawing>
      </w:r>
    </w:p>
    <w:p w14:paraId="7303204E" w14:textId="77777777" w:rsidR="0070077A" w:rsidRPr="00C43A9E" w:rsidRDefault="0070077A" w:rsidP="0070077A">
      <w:pPr>
        <w:pStyle w:val="Caption"/>
        <w:rPr>
          <w:b/>
          <w:i w:val="0"/>
        </w:rPr>
      </w:pPr>
      <w:r w:rsidRPr="00C43A9E">
        <w:rPr>
          <w:b/>
          <w:i w:val="0"/>
        </w:rPr>
        <w:t xml:space="preserve">Figure </w:t>
      </w:r>
      <w:r w:rsidRPr="00C43A9E">
        <w:rPr>
          <w:b/>
          <w:i w:val="0"/>
        </w:rPr>
        <w:fldChar w:fldCharType="begin"/>
      </w:r>
      <w:r w:rsidRPr="00C43A9E">
        <w:rPr>
          <w:b/>
          <w:i w:val="0"/>
        </w:rPr>
        <w:instrText xml:space="preserve"> SEQ Figure \* ARABIC </w:instrText>
      </w:r>
      <w:r w:rsidRPr="00C43A9E">
        <w:rPr>
          <w:b/>
          <w:i w:val="0"/>
        </w:rPr>
        <w:fldChar w:fldCharType="separate"/>
      </w:r>
      <w:r>
        <w:rPr>
          <w:b/>
          <w:i w:val="0"/>
          <w:noProof/>
        </w:rPr>
        <w:t>1</w:t>
      </w:r>
      <w:r w:rsidRPr="00C43A9E">
        <w:rPr>
          <w:b/>
          <w:i w:val="0"/>
        </w:rPr>
        <w:fldChar w:fldCharType="end"/>
      </w:r>
      <w:r w:rsidRPr="00C43A9E">
        <w:rPr>
          <w:b/>
          <w:i w:val="0"/>
        </w:rPr>
        <w:t>. BWP usage possibilities in initial access</w:t>
      </w:r>
    </w:p>
    <w:p w14:paraId="59FB3543" w14:textId="77777777" w:rsidR="0070077A" w:rsidRDefault="0070077A" w:rsidP="0070077A">
      <w:r>
        <w:t>While RAN2 has to conclude with the discussion, it is foreseen that RAN4 may need to provide requirements for this case</w:t>
      </w:r>
      <w:r w:rsidR="00127A84">
        <w:t>.</w:t>
      </w:r>
      <w:r>
        <w:t xml:space="preserve"> Regardless of whether UE switches the BWP before or after Msg5, some BWP switching delay may occur and should be taken into account.</w:t>
      </w:r>
    </w:p>
    <w:p w14:paraId="15373EF5" w14:textId="77777777" w:rsidR="0070077A" w:rsidRDefault="0070077A" w:rsidP="0070077A">
      <w:r w:rsidRPr="002B2AC0">
        <w:rPr>
          <w:b/>
        </w:rPr>
        <w:t>Observation 5:</w:t>
      </w:r>
      <w:r>
        <w:t xml:space="preserve"> RAN4 may need to provide some (new) requirements for initial access concerning BWP switching from initial BWP to first active BWP.</w:t>
      </w:r>
    </w:p>
    <w:p w14:paraId="0683FE62" w14:textId="08A22AAA" w:rsidR="00EA7363" w:rsidRDefault="0070077A" w:rsidP="001149A4">
      <w:r>
        <w:t xml:space="preserve">It may be possible to entirely include the BWP switching in the RRC processing delays, since the BWP switching would be part of the RRC configuration anyway. This would be the easiest way forward for RAN4 requirements </w:t>
      </w:r>
      <w:r>
        <w:lastRenderedPageBreak/>
        <w:t>viewpoint, but is not cle</w:t>
      </w:r>
      <w:r w:rsidR="00EA7363">
        <w:t xml:space="preserve">ar yet as RAN2 has not yet </w:t>
      </w:r>
      <w:r>
        <w:t>agreed to the RRC processing delays</w:t>
      </w:r>
      <w:r w:rsidR="001149A4">
        <w:t>. However, we see that this could be the starting point for the discussion in RAN4, and later when RAN2 has concluded the discussion about initial access and RRC processing delays, RAN4 can discuss whether such requirement is sufficient.</w:t>
      </w:r>
    </w:p>
    <w:p w14:paraId="504B60EC" w14:textId="7F5BCB5D" w:rsidR="001149A4" w:rsidRDefault="001149A4" w:rsidP="001149A4">
      <w:pPr>
        <w:pStyle w:val="RAN4observation0"/>
      </w:pPr>
      <w:r>
        <w:t>It may be possible to entirely include the BWP switching in the RRC processing delays.</w:t>
      </w:r>
    </w:p>
    <w:p w14:paraId="7F95A877" w14:textId="070593F3" w:rsidR="001149A4" w:rsidRPr="001149A4" w:rsidRDefault="00251974" w:rsidP="001149A4">
      <w:pPr>
        <w:pStyle w:val="RAN4proposal"/>
        <w:rPr>
          <w:lang w:val="en-GB"/>
        </w:rPr>
      </w:pPr>
      <w:r>
        <w:rPr>
          <w:lang w:val="en-GB"/>
        </w:rPr>
        <w:t>RAN4 will define requirements also for RRC-based BWP switching taking into consideration ongoing discussions in RAN2.</w:t>
      </w:r>
    </w:p>
    <w:p w14:paraId="10C2AB41" w14:textId="77777777" w:rsidR="00AE5735" w:rsidRPr="00AE5735" w:rsidRDefault="00AE5735" w:rsidP="00AE5735">
      <w:pPr>
        <w:rPr>
          <w:lang w:val="en-GB"/>
        </w:rPr>
      </w:pPr>
    </w:p>
    <w:p w14:paraId="17309231" w14:textId="77777777" w:rsidR="00CD7492" w:rsidRDefault="00CD7492" w:rsidP="00A37002">
      <w:pPr>
        <w:pStyle w:val="RAN4H1"/>
      </w:pPr>
      <w:r w:rsidRPr="00A37002">
        <w:t>Conclusion</w:t>
      </w:r>
    </w:p>
    <w:p w14:paraId="73076D95" w14:textId="7B0CD520" w:rsidR="00251974" w:rsidRPr="00251974" w:rsidRDefault="00251974" w:rsidP="00251974">
      <w:pPr>
        <w:pStyle w:val="RAN4proposal"/>
        <w:numPr>
          <w:ilvl w:val="0"/>
          <w:numId w:val="0"/>
        </w:numPr>
        <w:rPr>
          <w:b w:val="0"/>
        </w:rPr>
      </w:pPr>
      <w:r w:rsidRPr="00251974">
        <w:rPr>
          <w:b w:val="0"/>
        </w:rPr>
        <w:t>In this contribution we have discussed DCI-based and RRC-based BWP switching requirements. We have made the follo</w:t>
      </w:r>
      <w:r>
        <w:rPr>
          <w:b w:val="0"/>
        </w:rPr>
        <w:t>wing proposals and observations.</w:t>
      </w:r>
    </w:p>
    <w:p w14:paraId="11728BD6" w14:textId="65BD82D1" w:rsidR="00251974" w:rsidRPr="00251974" w:rsidRDefault="00251974" w:rsidP="00251974">
      <w:pPr>
        <w:rPr>
          <w:u w:val="single"/>
        </w:rPr>
      </w:pPr>
      <w:r w:rsidRPr="00251974">
        <w:rPr>
          <w:u w:val="single"/>
        </w:rPr>
        <w:t>DCI- and timer-based BWP switching:</w:t>
      </w:r>
    </w:p>
    <w:p w14:paraId="618FEA79" w14:textId="3FC13B29" w:rsidR="00251974" w:rsidRDefault="00251974" w:rsidP="00251974">
      <w:pPr>
        <w:pStyle w:val="RAN4proposal"/>
        <w:numPr>
          <w:ilvl w:val="0"/>
          <w:numId w:val="27"/>
        </w:numPr>
      </w:pPr>
      <w:r>
        <w:t>If Type 1 delay can be met by any UE, the delay should be kept as agreed earlier.</w:t>
      </w:r>
    </w:p>
    <w:p w14:paraId="7E4CCE54" w14:textId="77777777" w:rsidR="00251974" w:rsidRPr="00C803EE" w:rsidRDefault="00251974" w:rsidP="00251974">
      <w:pPr>
        <w:pStyle w:val="RAN4Observation"/>
        <w:numPr>
          <w:ilvl w:val="0"/>
          <w:numId w:val="28"/>
        </w:numPr>
      </w:pPr>
      <w:r>
        <w:t>If BWP switching delay is long, the network may not use the feature very often.</w:t>
      </w:r>
    </w:p>
    <w:p w14:paraId="51B3CE3A" w14:textId="77777777" w:rsidR="00251974" w:rsidRDefault="00251974" w:rsidP="00251974">
      <w:pPr>
        <w:pStyle w:val="RAN4proposal"/>
        <w:rPr>
          <w:lang w:val="en-GB"/>
        </w:rPr>
      </w:pPr>
      <w:r>
        <w:rPr>
          <w:lang w:val="en-GB"/>
        </w:rPr>
        <w:t>Keep Type 1 and Type 2 UE BWP switching delays as agreed earlier.</w:t>
      </w:r>
    </w:p>
    <w:p w14:paraId="5F11B7BC" w14:textId="77777777" w:rsidR="00251974" w:rsidRDefault="00251974" w:rsidP="00251974">
      <w:pPr>
        <w:pStyle w:val="RAN4proposal"/>
        <w:rPr>
          <w:lang w:val="en-GB"/>
        </w:rPr>
      </w:pPr>
      <w:r>
        <w:rPr>
          <w:lang w:val="en-GB"/>
        </w:rPr>
        <w:t>For DCI and timer based BWP switching delay requirement, use the following values:</w:t>
      </w:r>
    </w:p>
    <w:tbl>
      <w:tblPr>
        <w:tblStyle w:val="TableGrid"/>
        <w:tblW w:w="0" w:type="auto"/>
        <w:tblInd w:w="765" w:type="dxa"/>
        <w:tblLook w:val="04A0" w:firstRow="1" w:lastRow="0" w:firstColumn="1" w:lastColumn="0" w:noHBand="0" w:noVBand="1"/>
      </w:tblPr>
      <w:tblGrid>
        <w:gridCol w:w="483"/>
        <w:gridCol w:w="863"/>
        <w:gridCol w:w="1626"/>
        <w:gridCol w:w="1701"/>
        <w:gridCol w:w="1701"/>
        <w:gridCol w:w="1701"/>
      </w:tblGrid>
      <w:tr w:rsidR="00251974" w14:paraId="37377F37" w14:textId="77777777" w:rsidTr="002C170D">
        <w:tc>
          <w:tcPr>
            <w:tcW w:w="483" w:type="dxa"/>
            <w:vAlign w:val="center"/>
          </w:tcPr>
          <w:p w14:paraId="45C295BE" w14:textId="77777777" w:rsidR="00251974" w:rsidRPr="00214AA4" w:rsidRDefault="00251974" w:rsidP="002C170D">
            <w:pPr>
              <w:jc w:val="center"/>
              <w:rPr>
                <w:rFonts w:ascii="Arial" w:hAnsi="Arial" w:cs="Arial"/>
                <w:b/>
                <w:sz w:val="18"/>
                <w:szCs w:val="18"/>
                <w:lang w:val="en-GB"/>
              </w:rPr>
            </w:pPr>
            <w:r w:rsidRPr="00214AA4">
              <w:rPr>
                <w:rFonts w:ascii="Arial" w:hAnsi="Arial" w:cs="Arial"/>
                <w:b/>
                <w:noProof/>
                <w:sz w:val="18"/>
                <w:szCs w:val="18"/>
              </w:rPr>
              <w:drawing>
                <wp:inline distT="0" distB="0" distL="0" distR="0" wp14:anchorId="5FF5B51D" wp14:editId="7031F7B8">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863" w:type="dxa"/>
            <w:vAlign w:val="center"/>
          </w:tcPr>
          <w:p w14:paraId="54F769D2" w14:textId="77777777" w:rsidR="00251974" w:rsidRPr="00214AA4" w:rsidRDefault="00251974" w:rsidP="002C170D">
            <w:pPr>
              <w:jc w:val="center"/>
              <w:rPr>
                <w:rFonts w:ascii="Arial" w:hAnsi="Arial" w:cs="Arial"/>
                <w:b/>
                <w:sz w:val="18"/>
                <w:szCs w:val="18"/>
                <w:lang w:val="en-GB"/>
              </w:rPr>
            </w:pPr>
            <w:r w:rsidRPr="00214AA4">
              <w:rPr>
                <w:rFonts w:ascii="Arial" w:hAnsi="Arial" w:cs="Arial"/>
                <w:b/>
                <w:sz w:val="18"/>
                <w:szCs w:val="18"/>
              </w:rPr>
              <w:t>NR Slot length (ms)</w:t>
            </w:r>
          </w:p>
        </w:tc>
        <w:tc>
          <w:tcPr>
            <w:tcW w:w="1626" w:type="dxa"/>
            <w:vAlign w:val="center"/>
          </w:tcPr>
          <w:p w14:paraId="32A3884A" w14:textId="77777777" w:rsidR="00251974" w:rsidRPr="00214AA4" w:rsidRDefault="00251974" w:rsidP="002C170D">
            <w:pPr>
              <w:jc w:val="center"/>
              <w:rPr>
                <w:rFonts w:ascii="Arial" w:hAnsi="Arial" w:cs="Arial"/>
                <w:b/>
                <w:sz w:val="18"/>
                <w:szCs w:val="18"/>
                <w:lang w:val="en-GB"/>
              </w:rPr>
            </w:pPr>
            <w:r w:rsidRPr="00214AA4">
              <w:rPr>
                <w:rFonts w:ascii="Arial" w:hAnsi="Arial" w:cs="Arial"/>
                <w:b/>
                <w:sz w:val="18"/>
                <w:szCs w:val="18"/>
                <w:lang w:val="en-GB"/>
              </w:rPr>
              <w:t>Type 1 UE, Scenario 1, 2, 3</w:t>
            </w:r>
          </w:p>
        </w:tc>
        <w:tc>
          <w:tcPr>
            <w:tcW w:w="1701" w:type="dxa"/>
            <w:vAlign w:val="center"/>
          </w:tcPr>
          <w:p w14:paraId="46B0410B" w14:textId="77777777" w:rsidR="00251974" w:rsidRPr="00214AA4" w:rsidRDefault="00251974" w:rsidP="002C170D">
            <w:pPr>
              <w:jc w:val="center"/>
              <w:rPr>
                <w:rFonts w:ascii="Arial" w:hAnsi="Arial" w:cs="Arial"/>
                <w:b/>
                <w:sz w:val="18"/>
                <w:szCs w:val="18"/>
                <w:lang w:val="en-GB"/>
              </w:rPr>
            </w:pPr>
            <w:r w:rsidRPr="00214AA4">
              <w:rPr>
                <w:rFonts w:ascii="Arial" w:hAnsi="Arial" w:cs="Arial"/>
                <w:b/>
                <w:sz w:val="18"/>
                <w:szCs w:val="18"/>
                <w:lang w:val="en-GB"/>
              </w:rPr>
              <w:t>Type 1 UE, Scenario 4</w:t>
            </w:r>
          </w:p>
        </w:tc>
        <w:tc>
          <w:tcPr>
            <w:tcW w:w="1701" w:type="dxa"/>
            <w:vAlign w:val="center"/>
          </w:tcPr>
          <w:p w14:paraId="72BC2BBE" w14:textId="77777777" w:rsidR="00251974" w:rsidRPr="00214AA4" w:rsidRDefault="00251974" w:rsidP="002C170D">
            <w:pPr>
              <w:jc w:val="center"/>
              <w:rPr>
                <w:rFonts w:ascii="Arial" w:hAnsi="Arial" w:cs="Arial"/>
                <w:b/>
                <w:sz w:val="18"/>
                <w:szCs w:val="18"/>
                <w:lang w:val="en-GB"/>
              </w:rPr>
            </w:pPr>
            <w:r w:rsidRPr="00214AA4">
              <w:rPr>
                <w:rFonts w:ascii="Arial" w:hAnsi="Arial" w:cs="Arial"/>
                <w:b/>
                <w:sz w:val="18"/>
                <w:szCs w:val="18"/>
                <w:lang w:val="en-GB"/>
              </w:rPr>
              <w:t>Type 2 UE, Scenario 1, 2, 3</w:t>
            </w:r>
          </w:p>
        </w:tc>
        <w:tc>
          <w:tcPr>
            <w:tcW w:w="1701" w:type="dxa"/>
            <w:vAlign w:val="center"/>
          </w:tcPr>
          <w:p w14:paraId="37E715AE" w14:textId="77777777" w:rsidR="00251974" w:rsidRPr="00214AA4" w:rsidRDefault="00251974" w:rsidP="002C170D">
            <w:pPr>
              <w:jc w:val="center"/>
              <w:rPr>
                <w:rFonts w:ascii="Arial" w:hAnsi="Arial" w:cs="Arial"/>
                <w:b/>
                <w:sz w:val="18"/>
                <w:szCs w:val="18"/>
                <w:lang w:val="en-GB"/>
              </w:rPr>
            </w:pPr>
            <w:r w:rsidRPr="00214AA4">
              <w:rPr>
                <w:rFonts w:ascii="Arial" w:hAnsi="Arial" w:cs="Arial"/>
                <w:b/>
                <w:sz w:val="18"/>
                <w:szCs w:val="18"/>
                <w:lang w:val="en-GB"/>
              </w:rPr>
              <w:t>Type 2 UE, Scenario 4</w:t>
            </w:r>
          </w:p>
        </w:tc>
      </w:tr>
      <w:tr w:rsidR="00251974" w14:paraId="01FE6277" w14:textId="77777777" w:rsidTr="002C170D">
        <w:tc>
          <w:tcPr>
            <w:tcW w:w="483" w:type="dxa"/>
          </w:tcPr>
          <w:p w14:paraId="67183400" w14:textId="77777777" w:rsidR="00251974" w:rsidRPr="00214AA4" w:rsidRDefault="00251974" w:rsidP="002C170D">
            <w:pPr>
              <w:jc w:val="center"/>
              <w:rPr>
                <w:rFonts w:ascii="Arial" w:hAnsi="Arial" w:cs="Arial"/>
                <w:sz w:val="18"/>
                <w:szCs w:val="18"/>
              </w:rPr>
            </w:pPr>
          </w:p>
        </w:tc>
        <w:tc>
          <w:tcPr>
            <w:tcW w:w="863" w:type="dxa"/>
          </w:tcPr>
          <w:p w14:paraId="268FC7BB" w14:textId="77777777" w:rsidR="00251974" w:rsidRPr="00214AA4" w:rsidRDefault="00251974" w:rsidP="002C170D">
            <w:pPr>
              <w:jc w:val="center"/>
              <w:rPr>
                <w:rFonts w:ascii="Arial" w:hAnsi="Arial" w:cs="Arial"/>
                <w:sz w:val="18"/>
                <w:szCs w:val="18"/>
              </w:rPr>
            </w:pPr>
          </w:p>
        </w:tc>
        <w:tc>
          <w:tcPr>
            <w:tcW w:w="1626" w:type="dxa"/>
          </w:tcPr>
          <w:p w14:paraId="74EE21B4" w14:textId="77777777" w:rsidR="00251974" w:rsidRPr="00214AA4" w:rsidRDefault="00251974" w:rsidP="002C170D">
            <w:pPr>
              <w:jc w:val="center"/>
              <w:rPr>
                <w:rFonts w:ascii="Arial" w:hAnsi="Arial" w:cs="Arial"/>
                <w:sz w:val="18"/>
                <w:szCs w:val="18"/>
                <w:lang w:val="en-GB"/>
              </w:rPr>
            </w:pPr>
            <w:r w:rsidRPr="00214AA4">
              <w:rPr>
                <w:rFonts w:ascii="Arial" w:hAnsi="Arial" w:cs="Arial"/>
                <w:sz w:val="18"/>
                <w:szCs w:val="18"/>
                <w:lang w:val="en-GB"/>
              </w:rPr>
              <w:t>Delay [slots]</w:t>
            </w:r>
          </w:p>
        </w:tc>
        <w:tc>
          <w:tcPr>
            <w:tcW w:w="1701" w:type="dxa"/>
          </w:tcPr>
          <w:p w14:paraId="6E8FEF3F" w14:textId="77777777" w:rsidR="00251974" w:rsidRPr="00214AA4" w:rsidRDefault="00251974" w:rsidP="002C170D">
            <w:pPr>
              <w:jc w:val="center"/>
              <w:rPr>
                <w:rFonts w:ascii="Arial" w:hAnsi="Arial" w:cs="Arial"/>
                <w:sz w:val="18"/>
                <w:szCs w:val="18"/>
                <w:lang w:val="en-GB"/>
              </w:rPr>
            </w:pPr>
            <w:r w:rsidRPr="00214AA4">
              <w:rPr>
                <w:rFonts w:ascii="Arial" w:hAnsi="Arial" w:cs="Arial"/>
                <w:sz w:val="18"/>
                <w:szCs w:val="18"/>
                <w:lang w:val="en-GB"/>
              </w:rPr>
              <w:t>Delay [slots]</w:t>
            </w:r>
          </w:p>
        </w:tc>
        <w:tc>
          <w:tcPr>
            <w:tcW w:w="1701" w:type="dxa"/>
          </w:tcPr>
          <w:p w14:paraId="22DA43A4" w14:textId="77777777" w:rsidR="00251974" w:rsidRPr="00214AA4" w:rsidRDefault="00251974" w:rsidP="002C170D">
            <w:pPr>
              <w:jc w:val="center"/>
              <w:rPr>
                <w:rFonts w:ascii="Arial" w:hAnsi="Arial" w:cs="Arial"/>
                <w:sz w:val="18"/>
                <w:szCs w:val="18"/>
                <w:lang w:val="en-GB"/>
              </w:rPr>
            </w:pPr>
            <w:r w:rsidRPr="00214AA4">
              <w:rPr>
                <w:rFonts w:ascii="Arial" w:hAnsi="Arial" w:cs="Arial"/>
                <w:sz w:val="18"/>
                <w:szCs w:val="18"/>
                <w:lang w:val="en-GB"/>
              </w:rPr>
              <w:t>Delay [slots]</w:t>
            </w:r>
          </w:p>
        </w:tc>
        <w:tc>
          <w:tcPr>
            <w:tcW w:w="1701" w:type="dxa"/>
          </w:tcPr>
          <w:p w14:paraId="2A61B8E1" w14:textId="77777777" w:rsidR="00251974" w:rsidRPr="00214AA4" w:rsidRDefault="00251974" w:rsidP="002C170D">
            <w:pPr>
              <w:jc w:val="center"/>
              <w:rPr>
                <w:rFonts w:ascii="Arial" w:hAnsi="Arial" w:cs="Arial"/>
                <w:sz w:val="18"/>
                <w:szCs w:val="18"/>
                <w:lang w:val="en-GB"/>
              </w:rPr>
            </w:pPr>
            <w:r w:rsidRPr="00214AA4">
              <w:rPr>
                <w:rFonts w:ascii="Arial" w:hAnsi="Arial" w:cs="Arial"/>
                <w:sz w:val="18"/>
                <w:szCs w:val="18"/>
                <w:lang w:val="en-GB"/>
              </w:rPr>
              <w:t>Delay [slots]</w:t>
            </w:r>
          </w:p>
        </w:tc>
      </w:tr>
      <w:tr w:rsidR="00251974" w14:paraId="1C749D23" w14:textId="77777777" w:rsidTr="002C170D">
        <w:tc>
          <w:tcPr>
            <w:tcW w:w="483" w:type="dxa"/>
          </w:tcPr>
          <w:p w14:paraId="171410BA" w14:textId="77777777" w:rsidR="00251974" w:rsidRPr="00214AA4" w:rsidRDefault="00251974" w:rsidP="002C170D">
            <w:pPr>
              <w:jc w:val="center"/>
              <w:rPr>
                <w:rFonts w:ascii="Arial" w:hAnsi="Arial" w:cs="Arial"/>
                <w:sz w:val="18"/>
                <w:szCs w:val="18"/>
                <w:lang w:val="en-GB"/>
              </w:rPr>
            </w:pPr>
            <w:r w:rsidRPr="00214AA4">
              <w:rPr>
                <w:rFonts w:ascii="Arial" w:hAnsi="Arial" w:cs="Arial"/>
                <w:sz w:val="18"/>
                <w:szCs w:val="18"/>
              </w:rPr>
              <w:t>0</w:t>
            </w:r>
          </w:p>
        </w:tc>
        <w:tc>
          <w:tcPr>
            <w:tcW w:w="863" w:type="dxa"/>
          </w:tcPr>
          <w:p w14:paraId="77D26A77" w14:textId="77777777" w:rsidR="00251974" w:rsidRPr="00214AA4" w:rsidRDefault="00251974" w:rsidP="002C170D">
            <w:pPr>
              <w:jc w:val="center"/>
              <w:rPr>
                <w:rFonts w:ascii="Arial" w:hAnsi="Arial" w:cs="Arial"/>
                <w:sz w:val="18"/>
                <w:szCs w:val="18"/>
                <w:lang w:val="en-GB"/>
              </w:rPr>
            </w:pPr>
            <w:r w:rsidRPr="00214AA4">
              <w:rPr>
                <w:rFonts w:ascii="Arial" w:hAnsi="Arial" w:cs="Arial"/>
                <w:sz w:val="18"/>
                <w:szCs w:val="18"/>
              </w:rPr>
              <w:t>1</w:t>
            </w:r>
          </w:p>
        </w:tc>
        <w:tc>
          <w:tcPr>
            <w:tcW w:w="1626" w:type="dxa"/>
            <w:vAlign w:val="bottom"/>
          </w:tcPr>
          <w:p w14:paraId="5E4B3F3B" w14:textId="77777777" w:rsidR="00251974" w:rsidRPr="00214AA4" w:rsidRDefault="00251974" w:rsidP="002C170D">
            <w:pPr>
              <w:jc w:val="center"/>
              <w:rPr>
                <w:rFonts w:ascii="Arial" w:hAnsi="Arial" w:cs="Arial"/>
                <w:sz w:val="18"/>
                <w:szCs w:val="18"/>
                <w:lang w:val="en-GB"/>
              </w:rPr>
            </w:pPr>
            <w:r w:rsidRPr="00214AA4">
              <w:rPr>
                <w:rFonts w:ascii="Arial" w:hAnsi="Arial" w:cs="Arial"/>
                <w:color w:val="000000"/>
                <w:sz w:val="18"/>
                <w:szCs w:val="18"/>
              </w:rPr>
              <w:t>1</w:t>
            </w:r>
          </w:p>
        </w:tc>
        <w:tc>
          <w:tcPr>
            <w:tcW w:w="1701" w:type="dxa"/>
            <w:vAlign w:val="bottom"/>
          </w:tcPr>
          <w:p w14:paraId="07C598C6" w14:textId="77777777" w:rsidR="00251974" w:rsidRPr="00214AA4" w:rsidRDefault="00251974" w:rsidP="002C170D">
            <w:pPr>
              <w:jc w:val="center"/>
              <w:rPr>
                <w:rFonts w:ascii="Arial" w:hAnsi="Arial" w:cs="Arial"/>
                <w:sz w:val="18"/>
                <w:szCs w:val="18"/>
                <w:lang w:val="en-GB"/>
              </w:rPr>
            </w:pPr>
            <w:r w:rsidRPr="00214AA4">
              <w:rPr>
                <w:rFonts w:ascii="Arial" w:hAnsi="Arial" w:cs="Arial"/>
                <w:color w:val="000000"/>
                <w:sz w:val="18"/>
                <w:szCs w:val="18"/>
              </w:rPr>
              <w:t>1</w:t>
            </w:r>
          </w:p>
        </w:tc>
        <w:tc>
          <w:tcPr>
            <w:tcW w:w="1701" w:type="dxa"/>
            <w:vAlign w:val="bottom"/>
          </w:tcPr>
          <w:p w14:paraId="42828B58" w14:textId="77777777" w:rsidR="00251974" w:rsidRPr="00214AA4" w:rsidRDefault="00251974" w:rsidP="002C170D">
            <w:pPr>
              <w:jc w:val="center"/>
              <w:rPr>
                <w:rFonts w:ascii="Arial" w:hAnsi="Arial" w:cs="Arial"/>
                <w:sz w:val="18"/>
                <w:szCs w:val="18"/>
                <w:lang w:val="en-GB"/>
              </w:rPr>
            </w:pPr>
            <w:r w:rsidRPr="00214AA4">
              <w:rPr>
                <w:rFonts w:ascii="Arial" w:hAnsi="Arial" w:cs="Arial"/>
                <w:color w:val="000000"/>
                <w:sz w:val="18"/>
                <w:szCs w:val="18"/>
              </w:rPr>
              <w:t>3</w:t>
            </w:r>
          </w:p>
        </w:tc>
        <w:tc>
          <w:tcPr>
            <w:tcW w:w="1701" w:type="dxa"/>
            <w:vAlign w:val="bottom"/>
          </w:tcPr>
          <w:p w14:paraId="25287747" w14:textId="77777777" w:rsidR="00251974" w:rsidRPr="00214AA4" w:rsidRDefault="00251974" w:rsidP="002C170D">
            <w:pPr>
              <w:jc w:val="center"/>
              <w:rPr>
                <w:rFonts w:ascii="Arial" w:hAnsi="Arial" w:cs="Arial"/>
                <w:sz w:val="18"/>
                <w:szCs w:val="18"/>
                <w:lang w:val="en-GB"/>
              </w:rPr>
            </w:pPr>
            <w:r w:rsidRPr="00214AA4">
              <w:rPr>
                <w:rFonts w:ascii="Arial" w:hAnsi="Arial" w:cs="Arial"/>
                <w:color w:val="000000"/>
                <w:sz w:val="18"/>
                <w:szCs w:val="18"/>
              </w:rPr>
              <w:t>2</w:t>
            </w:r>
          </w:p>
        </w:tc>
      </w:tr>
      <w:tr w:rsidR="00251974" w14:paraId="5C0469EA" w14:textId="77777777" w:rsidTr="002C170D">
        <w:tc>
          <w:tcPr>
            <w:tcW w:w="483" w:type="dxa"/>
          </w:tcPr>
          <w:p w14:paraId="40BCFFFC" w14:textId="77777777" w:rsidR="00251974" w:rsidRPr="00214AA4" w:rsidRDefault="00251974" w:rsidP="002C170D">
            <w:pPr>
              <w:jc w:val="center"/>
              <w:rPr>
                <w:rFonts w:ascii="Arial" w:hAnsi="Arial" w:cs="Arial"/>
                <w:sz w:val="18"/>
                <w:szCs w:val="18"/>
                <w:lang w:val="en-GB"/>
              </w:rPr>
            </w:pPr>
            <w:r w:rsidRPr="00214AA4">
              <w:rPr>
                <w:rFonts w:ascii="Arial" w:hAnsi="Arial" w:cs="Arial"/>
                <w:sz w:val="18"/>
                <w:szCs w:val="18"/>
              </w:rPr>
              <w:t>1</w:t>
            </w:r>
          </w:p>
        </w:tc>
        <w:tc>
          <w:tcPr>
            <w:tcW w:w="863" w:type="dxa"/>
          </w:tcPr>
          <w:p w14:paraId="2DB55032" w14:textId="77777777" w:rsidR="00251974" w:rsidRPr="00214AA4" w:rsidRDefault="00251974" w:rsidP="002C170D">
            <w:pPr>
              <w:jc w:val="center"/>
              <w:rPr>
                <w:rFonts w:ascii="Arial" w:hAnsi="Arial" w:cs="Arial"/>
                <w:sz w:val="18"/>
                <w:szCs w:val="18"/>
                <w:lang w:val="en-GB"/>
              </w:rPr>
            </w:pPr>
            <w:r w:rsidRPr="00214AA4">
              <w:rPr>
                <w:rFonts w:ascii="Arial" w:hAnsi="Arial" w:cs="Arial"/>
                <w:sz w:val="18"/>
                <w:szCs w:val="18"/>
              </w:rPr>
              <w:t>0.5</w:t>
            </w:r>
          </w:p>
        </w:tc>
        <w:tc>
          <w:tcPr>
            <w:tcW w:w="1626" w:type="dxa"/>
            <w:vAlign w:val="bottom"/>
          </w:tcPr>
          <w:p w14:paraId="1FD26C5A" w14:textId="77777777" w:rsidR="00251974" w:rsidRPr="00214AA4" w:rsidRDefault="00251974" w:rsidP="002C170D">
            <w:pPr>
              <w:jc w:val="center"/>
              <w:rPr>
                <w:rFonts w:ascii="Arial" w:hAnsi="Arial" w:cs="Arial"/>
                <w:sz w:val="18"/>
                <w:szCs w:val="18"/>
                <w:lang w:val="en-GB"/>
              </w:rPr>
            </w:pPr>
            <w:r w:rsidRPr="00214AA4">
              <w:rPr>
                <w:rFonts w:ascii="Arial" w:hAnsi="Arial" w:cs="Arial"/>
                <w:color w:val="000000"/>
                <w:sz w:val="18"/>
                <w:szCs w:val="18"/>
              </w:rPr>
              <w:t>2</w:t>
            </w:r>
          </w:p>
        </w:tc>
        <w:tc>
          <w:tcPr>
            <w:tcW w:w="1701" w:type="dxa"/>
            <w:vAlign w:val="bottom"/>
          </w:tcPr>
          <w:p w14:paraId="66937888" w14:textId="77777777" w:rsidR="00251974" w:rsidRPr="00214AA4" w:rsidRDefault="00251974" w:rsidP="002C170D">
            <w:pPr>
              <w:jc w:val="center"/>
              <w:rPr>
                <w:rFonts w:ascii="Arial" w:hAnsi="Arial" w:cs="Arial"/>
                <w:sz w:val="18"/>
                <w:szCs w:val="18"/>
                <w:lang w:val="en-GB"/>
              </w:rPr>
            </w:pPr>
            <w:r w:rsidRPr="00214AA4">
              <w:rPr>
                <w:rFonts w:ascii="Arial" w:hAnsi="Arial" w:cs="Arial"/>
                <w:color w:val="000000"/>
                <w:sz w:val="18"/>
                <w:szCs w:val="18"/>
              </w:rPr>
              <w:t>2</w:t>
            </w:r>
          </w:p>
        </w:tc>
        <w:tc>
          <w:tcPr>
            <w:tcW w:w="1701" w:type="dxa"/>
            <w:vAlign w:val="bottom"/>
          </w:tcPr>
          <w:p w14:paraId="4283F051" w14:textId="77777777" w:rsidR="00251974" w:rsidRPr="00214AA4" w:rsidRDefault="00251974" w:rsidP="002C170D">
            <w:pPr>
              <w:jc w:val="center"/>
              <w:rPr>
                <w:rFonts w:ascii="Arial" w:hAnsi="Arial" w:cs="Arial"/>
                <w:sz w:val="18"/>
                <w:szCs w:val="18"/>
                <w:lang w:val="en-GB"/>
              </w:rPr>
            </w:pPr>
            <w:r w:rsidRPr="00214AA4">
              <w:rPr>
                <w:rFonts w:ascii="Arial" w:hAnsi="Arial" w:cs="Arial"/>
                <w:color w:val="000000"/>
                <w:sz w:val="18"/>
                <w:szCs w:val="18"/>
              </w:rPr>
              <w:t>5</w:t>
            </w:r>
          </w:p>
        </w:tc>
        <w:tc>
          <w:tcPr>
            <w:tcW w:w="1701" w:type="dxa"/>
            <w:vAlign w:val="bottom"/>
          </w:tcPr>
          <w:p w14:paraId="5AA73761" w14:textId="77777777" w:rsidR="00251974" w:rsidRPr="00214AA4" w:rsidRDefault="00251974" w:rsidP="002C170D">
            <w:pPr>
              <w:jc w:val="center"/>
              <w:rPr>
                <w:rFonts w:ascii="Arial" w:hAnsi="Arial" w:cs="Arial"/>
                <w:sz w:val="18"/>
                <w:szCs w:val="18"/>
                <w:lang w:val="en-GB"/>
              </w:rPr>
            </w:pPr>
            <w:r w:rsidRPr="00214AA4">
              <w:rPr>
                <w:rFonts w:ascii="Arial" w:hAnsi="Arial" w:cs="Arial"/>
                <w:color w:val="000000"/>
                <w:sz w:val="18"/>
                <w:szCs w:val="18"/>
              </w:rPr>
              <w:t>3</w:t>
            </w:r>
          </w:p>
        </w:tc>
      </w:tr>
      <w:tr w:rsidR="00251974" w14:paraId="57996B60" w14:textId="77777777" w:rsidTr="002C170D">
        <w:tc>
          <w:tcPr>
            <w:tcW w:w="483" w:type="dxa"/>
          </w:tcPr>
          <w:p w14:paraId="30602281" w14:textId="77777777" w:rsidR="00251974" w:rsidRPr="00214AA4" w:rsidRDefault="00251974" w:rsidP="002C170D">
            <w:pPr>
              <w:jc w:val="center"/>
              <w:rPr>
                <w:rFonts w:ascii="Arial" w:hAnsi="Arial" w:cs="Arial"/>
                <w:sz w:val="18"/>
                <w:szCs w:val="18"/>
                <w:lang w:val="en-GB"/>
              </w:rPr>
            </w:pPr>
            <w:r w:rsidRPr="00214AA4">
              <w:rPr>
                <w:rFonts w:ascii="Arial" w:hAnsi="Arial" w:cs="Arial"/>
                <w:sz w:val="18"/>
                <w:szCs w:val="18"/>
              </w:rPr>
              <w:t>2</w:t>
            </w:r>
          </w:p>
        </w:tc>
        <w:tc>
          <w:tcPr>
            <w:tcW w:w="863" w:type="dxa"/>
          </w:tcPr>
          <w:p w14:paraId="7318894D" w14:textId="77777777" w:rsidR="00251974" w:rsidRPr="00214AA4" w:rsidRDefault="00251974" w:rsidP="002C170D">
            <w:pPr>
              <w:jc w:val="center"/>
              <w:rPr>
                <w:rFonts w:ascii="Arial" w:hAnsi="Arial" w:cs="Arial"/>
                <w:sz w:val="18"/>
                <w:szCs w:val="18"/>
                <w:lang w:val="en-GB"/>
              </w:rPr>
            </w:pPr>
            <w:r w:rsidRPr="00214AA4">
              <w:rPr>
                <w:rFonts w:ascii="Arial" w:hAnsi="Arial" w:cs="Arial"/>
                <w:sz w:val="18"/>
                <w:szCs w:val="18"/>
              </w:rPr>
              <w:t>0.25</w:t>
            </w:r>
          </w:p>
        </w:tc>
        <w:tc>
          <w:tcPr>
            <w:tcW w:w="1626" w:type="dxa"/>
            <w:vAlign w:val="bottom"/>
          </w:tcPr>
          <w:p w14:paraId="0F583208" w14:textId="77777777" w:rsidR="00251974" w:rsidRPr="00214AA4" w:rsidRDefault="00251974" w:rsidP="002C170D">
            <w:pPr>
              <w:jc w:val="center"/>
              <w:rPr>
                <w:rFonts w:ascii="Arial" w:hAnsi="Arial" w:cs="Arial"/>
                <w:sz w:val="18"/>
                <w:szCs w:val="18"/>
                <w:lang w:val="en-GB"/>
              </w:rPr>
            </w:pPr>
            <w:r w:rsidRPr="00214AA4">
              <w:rPr>
                <w:rFonts w:ascii="Arial" w:hAnsi="Arial" w:cs="Arial"/>
                <w:color w:val="000000"/>
                <w:sz w:val="18"/>
                <w:szCs w:val="18"/>
              </w:rPr>
              <w:t>3</w:t>
            </w:r>
          </w:p>
        </w:tc>
        <w:tc>
          <w:tcPr>
            <w:tcW w:w="1701" w:type="dxa"/>
            <w:vAlign w:val="bottom"/>
          </w:tcPr>
          <w:p w14:paraId="4584157A" w14:textId="77777777" w:rsidR="00251974" w:rsidRPr="00214AA4" w:rsidRDefault="00251974" w:rsidP="002C170D">
            <w:pPr>
              <w:jc w:val="center"/>
              <w:rPr>
                <w:rFonts w:ascii="Arial" w:hAnsi="Arial" w:cs="Arial"/>
                <w:sz w:val="18"/>
                <w:szCs w:val="18"/>
                <w:lang w:val="en-GB"/>
              </w:rPr>
            </w:pPr>
            <w:r w:rsidRPr="00214AA4">
              <w:rPr>
                <w:rFonts w:ascii="Arial" w:hAnsi="Arial" w:cs="Arial"/>
                <w:color w:val="000000"/>
                <w:sz w:val="18"/>
                <w:szCs w:val="18"/>
              </w:rPr>
              <w:t>2</w:t>
            </w:r>
          </w:p>
        </w:tc>
        <w:tc>
          <w:tcPr>
            <w:tcW w:w="1701" w:type="dxa"/>
            <w:vAlign w:val="bottom"/>
          </w:tcPr>
          <w:p w14:paraId="7738C87A" w14:textId="77777777" w:rsidR="00251974" w:rsidRPr="00214AA4" w:rsidRDefault="00251974" w:rsidP="002C170D">
            <w:pPr>
              <w:jc w:val="center"/>
              <w:rPr>
                <w:rFonts w:ascii="Arial" w:hAnsi="Arial" w:cs="Arial"/>
                <w:sz w:val="18"/>
                <w:szCs w:val="18"/>
                <w:lang w:val="en-GB"/>
              </w:rPr>
            </w:pPr>
            <w:r w:rsidRPr="00214AA4">
              <w:rPr>
                <w:rFonts w:ascii="Arial" w:hAnsi="Arial" w:cs="Arial"/>
                <w:color w:val="000000"/>
                <w:sz w:val="18"/>
                <w:szCs w:val="18"/>
              </w:rPr>
              <w:t>9</w:t>
            </w:r>
          </w:p>
        </w:tc>
        <w:tc>
          <w:tcPr>
            <w:tcW w:w="1701" w:type="dxa"/>
            <w:vAlign w:val="bottom"/>
          </w:tcPr>
          <w:p w14:paraId="586FE462" w14:textId="77777777" w:rsidR="00251974" w:rsidRPr="00214AA4" w:rsidRDefault="00251974" w:rsidP="002C170D">
            <w:pPr>
              <w:jc w:val="center"/>
              <w:rPr>
                <w:rFonts w:ascii="Arial" w:hAnsi="Arial" w:cs="Arial"/>
                <w:sz w:val="18"/>
                <w:szCs w:val="18"/>
                <w:lang w:val="en-GB"/>
              </w:rPr>
            </w:pPr>
            <w:r w:rsidRPr="00214AA4">
              <w:rPr>
                <w:rFonts w:ascii="Arial" w:hAnsi="Arial" w:cs="Arial"/>
                <w:color w:val="000000"/>
                <w:sz w:val="18"/>
                <w:szCs w:val="18"/>
              </w:rPr>
              <w:t>5</w:t>
            </w:r>
          </w:p>
        </w:tc>
      </w:tr>
      <w:tr w:rsidR="00251974" w14:paraId="383E5A60" w14:textId="77777777" w:rsidTr="002C170D">
        <w:tc>
          <w:tcPr>
            <w:tcW w:w="483" w:type="dxa"/>
          </w:tcPr>
          <w:p w14:paraId="33B931AB" w14:textId="77777777" w:rsidR="00251974" w:rsidRPr="00214AA4" w:rsidRDefault="00251974" w:rsidP="002C170D">
            <w:pPr>
              <w:jc w:val="center"/>
              <w:rPr>
                <w:rFonts w:ascii="Arial" w:hAnsi="Arial" w:cs="Arial"/>
                <w:sz w:val="18"/>
                <w:szCs w:val="18"/>
                <w:lang w:val="en-GB"/>
              </w:rPr>
            </w:pPr>
            <w:r w:rsidRPr="00214AA4">
              <w:rPr>
                <w:rFonts w:ascii="Arial" w:hAnsi="Arial" w:cs="Arial"/>
                <w:sz w:val="18"/>
                <w:szCs w:val="18"/>
              </w:rPr>
              <w:t>3</w:t>
            </w:r>
          </w:p>
        </w:tc>
        <w:tc>
          <w:tcPr>
            <w:tcW w:w="863" w:type="dxa"/>
          </w:tcPr>
          <w:p w14:paraId="62B34742" w14:textId="77777777" w:rsidR="00251974" w:rsidRPr="00214AA4" w:rsidRDefault="00251974" w:rsidP="002C170D">
            <w:pPr>
              <w:jc w:val="center"/>
              <w:rPr>
                <w:rFonts w:ascii="Arial" w:hAnsi="Arial" w:cs="Arial"/>
                <w:sz w:val="18"/>
                <w:szCs w:val="18"/>
                <w:lang w:val="en-GB"/>
              </w:rPr>
            </w:pPr>
            <w:r w:rsidRPr="00214AA4">
              <w:rPr>
                <w:rFonts w:ascii="Arial" w:hAnsi="Arial" w:cs="Arial"/>
                <w:sz w:val="18"/>
                <w:szCs w:val="18"/>
              </w:rPr>
              <w:t>0.125</w:t>
            </w:r>
          </w:p>
        </w:tc>
        <w:tc>
          <w:tcPr>
            <w:tcW w:w="1626" w:type="dxa"/>
            <w:vAlign w:val="bottom"/>
          </w:tcPr>
          <w:p w14:paraId="12C19C86" w14:textId="77777777" w:rsidR="00251974" w:rsidRPr="00214AA4" w:rsidRDefault="00251974" w:rsidP="002C170D">
            <w:pPr>
              <w:jc w:val="center"/>
              <w:rPr>
                <w:rFonts w:ascii="Arial" w:hAnsi="Arial" w:cs="Arial"/>
                <w:sz w:val="18"/>
                <w:szCs w:val="18"/>
                <w:lang w:val="en-GB"/>
              </w:rPr>
            </w:pPr>
            <w:r w:rsidRPr="00214AA4">
              <w:rPr>
                <w:rFonts w:ascii="Arial" w:hAnsi="Arial" w:cs="Arial"/>
                <w:color w:val="000000"/>
                <w:sz w:val="18"/>
                <w:szCs w:val="18"/>
              </w:rPr>
              <w:t>6</w:t>
            </w:r>
          </w:p>
        </w:tc>
        <w:tc>
          <w:tcPr>
            <w:tcW w:w="1701" w:type="dxa"/>
            <w:vAlign w:val="bottom"/>
          </w:tcPr>
          <w:p w14:paraId="289E8996" w14:textId="77777777" w:rsidR="00251974" w:rsidRPr="00214AA4" w:rsidRDefault="00251974" w:rsidP="002C170D">
            <w:pPr>
              <w:jc w:val="center"/>
              <w:rPr>
                <w:rFonts w:ascii="Arial" w:hAnsi="Arial" w:cs="Arial"/>
                <w:sz w:val="18"/>
                <w:szCs w:val="18"/>
                <w:lang w:val="en-GB"/>
              </w:rPr>
            </w:pPr>
            <w:r w:rsidRPr="00214AA4">
              <w:rPr>
                <w:rFonts w:ascii="Arial" w:hAnsi="Arial" w:cs="Arial"/>
                <w:color w:val="000000"/>
                <w:sz w:val="18"/>
                <w:szCs w:val="18"/>
              </w:rPr>
              <w:t>4</w:t>
            </w:r>
          </w:p>
        </w:tc>
        <w:tc>
          <w:tcPr>
            <w:tcW w:w="1701" w:type="dxa"/>
            <w:vAlign w:val="bottom"/>
          </w:tcPr>
          <w:p w14:paraId="65110F37" w14:textId="77777777" w:rsidR="00251974" w:rsidRPr="00214AA4" w:rsidRDefault="00251974" w:rsidP="002C170D">
            <w:pPr>
              <w:jc w:val="center"/>
              <w:rPr>
                <w:rFonts w:ascii="Arial" w:hAnsi="Arial" w:cs="Arial"/>
                <w:sz w:val="18"/>
                <w:szCs w:val="18"/>
                <w:lang w:val="en-GB"/>
              </w:rPr>
            </w:pPr>
            <w:r w:rsidRPr="00214AA4">
              <w:rPr>
                <w:rFonts w:ascii="Arial" w:hAnsi="Arial" w:cs="Arial"/>
                <w:color w:val="000000"/>
                <w:sz w:val="18"/>
                <w:szCs w:val="18"/>
              </w:rPr>
              <w:t>17</w:t>
            </w:r>
          </w:p>
        </w:tc>
        <w:tc>
          <w:tcPr>
            <w:tcW w:w="1701" w:type="dxa"/>
            <w:vAlign w:val="bottom"/>
          </w:tcPr>
          <w:p w14:paraId="5A819502" w14:textId="77777777" w:rsidR="00251974" w:rsidRPr="00214AA4" w:rsidRDefault="00251974" w:rsidP="002C170D">
            <w:pPr>
              <w:jc w:val="center"/>
              <w:rPr>
                <w:rFonts w:ascii="Arial" w:hAnsi="Arial" w:cs="Arial"/>
                <w:sz w:val="18"/>
                <w:szCs w:val="18"/>
                <w:lang w:val="en-GB"/>
              </w:rPr>
            </w:pPr>
            <w:r w:rsidRPr="00214AA4">
              <w:rPr>
                <w:rFonts w:ascii="Arial" w:hAnsi="Arial" w:cs="Arial"/>
                <w:color w:val="000000"/>
                <w:sz w:val="18"/>
                <w:szCs w:val="18"/>
              </w:rPr>
              <w:t>8</w:t>
            </w:r>
          </w:p>
        </w:tc>
      </w:tr>
    </w:tbl>
    <w:p w14:paraId="4B1DD6E3" w14:textId="77777777" w:rsidR="00251974" w:rsidRDefault="00251974" w:rsidP="00251974">
      <w:pPr>
        <w:rPr>
          <w:lang w:val="en-GB"/>
        </w:rPr>
      </w:pPr>
    </w:p>
    <w:p w14:paraId="66E5AA00" w14:textId="2BCDD95F" w:rsidR="00251974" w:rsidRPr="00251974" w:rsidRDefault="00251974" w:rsidP="00251974">
      <w:pPr>
        <w:pStyle w:val="RAN4proposal"/>
        <w:numPr>
          <w:ilvl w:val="0"/>
          <w:numId w:val="0"/>
        </w:numPr>
        <w:ind w:left="360" w:hanging="360"/>
        <w:rPr>
          <w:b w:val="0"/>
          <w:u w:val="single"/>
        </w:rPr>
      </w:pPr>
      <w:r w:rsidRPr="00251974">
        <w:rPr>
          <w:b w:val="0"/>
          <w:u w:val="single"/>
        </w:rPr>
        <w:t>Interruptions:</w:t>
      </w:r>
    </w:p>
    <w:p w14:paraId="1D644BC3" w14:textId="52677AFA" w:rsidR="00251974" w:rsidRDefault="00251974" w:rsidP="00251974">
      <w:pPr>
        <w:pStyle w:val="RAN4proposal"/>
      </w:pPr>
      <w:r>
        <w:t>Interruption duration for SCell activation is reused for BWP switching.</w:t>
      </w:r>
    </w:p>
    <w:p w14:paraId="490336DF" w14:textId="77777777" w:rsidR="00251974" w:rsidRPr="000D0566" w:rsidRDefault="00251974" w:rsidP="00251974">
      <w:pPr>
        <w:pStyle w:val="RAN4proposal"/>
      </w:pPr>
      <w:r>
        <w:t>Interruptions are not allowed when BWP switching includes change in only BB parameters without changing BW or center frequency, which needs to be clarified in interruption requirements.</w:t>
      </w:r>
    </w:p>
    <w:p w14:paraId="094391DB" w14:textId="1318DB78" w:rsidR="00251974" w:rsidRDefault="00251974" w:rsidP="00251974">
      <w:pPr>
        <w:pStyle w:val="RAN4Observation"/>
        <w:numPr>
          <w:ilvl w:val="0"/>
          <w:numId w:val="0"/>
        </w:numPr>
      </w:pPr>
    </w:p>
    <w:p w14:paraId="3BA848C9" w14:textId="44E2F13A" w:rsidR="00251974" w:rsidRPr="00251974" w:rsidRDefault="00251974" w:rsidP="00251974">
      <w:pPr>
        <w:rPr>
          <w:u w:val="single"/>
          <w:lang w:val="en-GB"/>
        </w:rPr>
      </w:pPr>
      <w:r w:rsidRPr="00251974">
        <w:rPr>
          <w:u w:val="single"/>
          <w:lang w:val="en-GB"/>
        </w:rPr>
        <w:t>RRC-based BWP switching:</w:t>
      </w:r>
    </w:p>
    <w:p w14:paraId="5A609AF1" w14:textId="13B7B265" w:rsidR="00251974" w:rsidRDefault="00251974" w:rsidP="00251974">
      <w:pPr>
        <w:pStyle w:val="RAN4Observation"/>
        <w:numPr>
          <w:ilvl w:val="0"/>
          <w:numId w:val="26"/>
        </w:numPr>
      </w:pPr>
      <w:r>
        <w:t>BWP switching via RRC for PCell and PSCell follows handover procedure, which involves some data interruption.</w:t>
      </w:r>
    </w:p>
    <w:p w14:paraId="6EE3A9F2" w14:textId="77777777" w:rsidR="00251974" w:rsidRDefault="00251974" w:rsidP="00251974">
      <w:pPr>
        <w:pStyle w:val="RAN4observation0"/>
      </w:pPr>
      <w:r>
        <w:t>The role of BWP switching during initial access is still unclear in RAN2.</w:t>
      </w:r>
    </w:p>
    <w:p w14:paraId="37FBEE07" w14:textId="77777777" w:rsidR="00251974" w:rsidRDefault="00251974" w:rsidP="00251974">
      <w:r w:rsidRPr="002B2AC0">
        <w:rPr>
          <w:b/>
        </w:rPr>
        <w:t>Observation 5:</w:t>
      </w:r>
      <w:r>
        <w:t xml:space="preserve"> RAN4 may need to provide some (new) requirements for initial access concerning BWP switching from initial BWP to first active BWP.</w:t>
      </w:r>
    </w:p>
    <w:p w14:paraId="02BF0513" w14:textId="77777777" w:rsidR="00251974" w:rsidRDefault="00251974" w:rsidP="00251974">
      <w:pPr>
        <w:pStyle w:val="RAN4observation0"/>
      </w:pPr>
      <w:r>
        <w:t>It may be possible to entirely include the BWP switching in the RRC processing delays.</w:t>
      </w:r>
    </w:p>
    <w:p w14:paraId="753253EF" w14:textId="77777777" w:rsidR="00251974" w:rsidRPr="001149A4" w:rsidRDefault="00251974" w:rsidP="00251974">
      <w:pPr>
        <w:pStyle w:val="RAN4proposal"/>
        <w:rPr>
          <w:lang w:val="en-GB"/>
        </w:rPr>
      </w:pPr>
      <w:r>
        <w:rPr>
          <w:lang w:val="en-GB"/>
        </w:rPr>
        <w:t>RAN4 will define requirements also for RRC-based BWP switching taking into consideration ongoing discussions in RAN2.</w:t>
      </w:r>
    </w:p>
    <w:p w14:paraId="69333EDE" w14:textId="77777777" w:rsidR="003B659E" w:rsidRPr="0095295C" w:rsidRDefault="003B659E" w:rsidP="007A4AD4">
      <w:pPr>
        <w:pStyle w:val="RAN4H1"/>
        <w:numPr>
          <w:ilvl w:val="0"/>
          <w:numId w:val="0"/>
        </w:numPr>
        <w:ind w:left="360" w:hanging="360"/>
      </w:pPr>
      <w:r w:rsidRPr="0095295C">
        <w:lastRenderedPageBreak/>
        <w:t>References</w:t>
      </w:r>
    </w:p>
    <w:p w14:paraId="6DFFC9B9" w14:textId="77777777" w:rsidR="003B659E" w:rsidRPr="007A4AD4" w:rsidRDefault="007A4AD4" w:rsidP="007A4AD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A4AD4">
        <w:rPr>
          <w:bCs/>
        </w:rPr>
        <w:t xml:space="preserve">R4-1809380, CR on introduction of requirement for BWP switching delay in TS38.133, </w:t>
      </w:r>
      <w:r w:rsidRPr="007A4AD4">
        <w:rPr>
          <w:noProof/>
        </w:rPr>
        <w:t>Mediatek Inc, 3GPP TSG-RAN WG4 Meeting #AH1807, Montreal, Canada, July 2018.</w:t>
      </w:r>
    </w:p>
    <w:p w14:paraId="08EAC0D0" w14:textId="77777777" w:rsidR="007A4AD4" w:rsidRPr="007A4AD4" w:rsidRDefault="007A4AD4" w:rsidP="007A4AD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A4AD4">
        <w:rPr>
          <w:bCs/>
        </w:rPr>
        <w:t xml:space="preserve">R4-1809381, </w:t>
      </w:r>
      <w:r w:rsidRPr="007A4AD4">
        <w:rPr>
          <w:rFonts w:cs="Arial"/>
          <w:bCs/>
          <w:lang w:eastAsia="zh-CN"/>
        </w:rPr>
        <w:t xml:space="preserve">CR on TS38.133 for interruption due to BWP switching, </w:t>
      </w:r>
      <w:r w:rsidRPr="007A4AD4">
        <w:rPr>
          <w:rFonts w:hint="eastAsia"/>
          <w:noProof/>
          <w:lang w:eastAsia="zh-CN"/>
        </w:rPr>
        <w:t>Huawei, HiSilicon</w:t>
      </w:r>
      <w:r w:rsidRPr="007A4AD4">
        <w:rPr>
          <w:noProof/>
          <w:lang w:eastAsia="zh-CN"/>
        </w:rPr>
        <w:t xml:space="preserve">, </w:t>
      </w:r>
      <w:r w:rsidRPr="007A4AD4">
        <w:rPr>
          <w:noProof/>
        </w:rPr>
        <w:t>3GPP TSG-RAN WG4 Meeting #AH1807, Montreal, Canada, July 2018.</w:t>
      </w:r>
    </w:p>
    <w:p w14:paraId="30F38FC1" w14:textId="77777777" w:rsidR="007A4AD4" w:rsidRPr="007A4AD4" w:rsidRDefault="007A4AD4" w:rsidP="007A4AD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A4AD4">
        <w:rPr>
          <w:bCs/>
        </w:rPr>
        <w:t xml:space="preserve">R4-1809550, </w:t>
      </w:r>
      <w:r w:rsidRPr="007A4AD4">
        <w:rPr>
          <w:noProof/>
        </w:rPr>
        <w:t>Interruption Requirements on LTE Serving Cells due to BWP Reconfiguration, Ericsson, 3GPP TSG-RAN WG4 Meeting #AH1807, Montreal, Canada, July 2018.</w:t>
      </w:r>
    </w:p>
    <w:p w14:paraId="0ADEAEB1" w14:textId="77777777" w:rsidR="003B659E" w:rsidRDefault="00184C2A" w:rsidP="00184C2A">
      <w:pPr>
        <w:numPr>
          <w:ilvl w:val="0"/>
          <w:numId w:val="1"/>
        </w:numPr>
        <w:overflowPunct w:val="0"/>
        <w:autoSpaceDE w:val="0"/>
        <w:autoSpaceDN w:val="0"/>
        <w:adjustRightInd w:val="0"/>
        <w:spacing w:after="120"/>
        <w:jc w:val="both"/>
        <w:textAlignment w:val="baseline"/>
        <w:rPr>
          <w:szCs w:val="20"/>
        </w:rPr>
      </w:pPr>
      <w:r w:rsidRPr="00184C2A">
        <w:rPr>
          <w:rFonts w:eastAsia="Times New Roman" w:cs="Times New Roman"/>
          <w:szCs w:val="20"/>
          <w:lang w:val="en-GB"/>
        </w:rPr>
        <w:t>R4-1809536</w:t>
      </w:r>
      <w:r>
        <w:rPr>
          <w:rFonts w:eastAsia="Times New Roman" w:cs="Times New Roman"/>
          <w:szCs w:val="20"/>
          <w:lang w:val="en-GB"/>
        </w:rPr>
        <w:t xml:space="preserve">, </w:t>
      </w:r>
      <w:r w:rsidRPr="00184C2A">
        <w:rPr>
          <w:rFonts w:eastAsia="Times New Roman" w:cs="Times New Roman"/>
          <w:szCs w:val="20"/>
        </w:rPr>
        <w:t>Way forward on BWP Switching</w:t>
      </w:r>
      <w:r>
        <w:rPr>
          <w:rFonts w:eastAsia="Times New Roman" w:cs="Times New Roman"/>
          <w:szCs w:val="20"/>
        </w:rPr>
        <w:t xml:space="preserve">, </w:t>
      </w:r>
      <w:r w:rsidRPr="00184C2A">
        <w:rPr>
          <w:rFonts w:eastAsia="Times New Roman"/>
          <w:szCs w:val="20"/>
        </w:rPr>
        <w:t>Intel, MediaTek, Nokia, Nokia Shanghai Bell, Samsung</w:t>
      </w:r>
      <w:r>
        <w:rPr>
          <w:szCs w:val="20"/>
        </w:rPr>
        <w:t xml:space="preserve">, </w:t>
      </w:r>
      <w:r w:rsidRPr="007A4AD4">
        <w:rPr>
          <w:noProof/>
        </w:rPr>
        <w:t>3GPP TSG-RAN WG4 Meeting #AH1807, Montreal, Canada, July 2018.</w:t>
      </w:r>
    </w:p>
    <w:p w14:paraId="1BE06C08" w14:textId="77777777" w:rsidR="00DA0ED9" w:rsidRDefault="00DA0ED9" w:rsidP="00DA0ED9">
      <w:pPr>
        <w:numPr>
          <w:ilvl w:val="0"/>
          <w:numId w:val="1"/>
        </w:numPr>
        <w:overflowPunct w:val="0"/>
        <w:autoSpaceDE w:val="0"/>
        <w:autoSpaceDN w:val="0"/>
        <w:adjustRightInd w:val="0"/>
        <w:spacing w:after="120" w:line="240" w:lineRule="auto"/>
        <w:ind w:right="-22"/>
        <w:jc w:val="both"/>
        <w:textAlignment w:val="baseline"/>
        <w:rPr>
          <w:lang w:val="en-GB"/>
        </w:rPr>
      </w:pPr>
      <w:r w:rsidRPr="00621E38">
        <w:rPr>
          <w:bCs/>
        </w:rPr>
        <w:t>R4-1809355</w:t>
      </w:r>
      <w:r>
        <w:rPr>
          <w:bCs/>
        </w:rPr>
        <w:t xml:space="preserve">, </w:t>
      </w:r>
      <w:r w:rsidRPr="00DA0ED9">
        <w:rPr>
          <w:bCs/>
        </w:rPr>
        <w:t>AH for NR signal characteristics</w:t>
      </w:r>
      <w:r>
        <w:rPr>
          <w:bCs/>
        </w:rPr>
        <w:t xml:space="preserve">, </w:t>
      </w:r>
      <w:r w:rsidRPr="00DA0ED9">
        <w:rPr>
          <w:bCs/>
        </w:rPr>
        <w:t>Huawei, HiSilicon</w:t>
      </w:r>
      <w:r>
        <w:rPr>
          <w:bCs/>
        </w:rPr>
        <w:t xml:space="preserve">, </w:t>
      </w:r>
      <w:r w:rsidRPr="007A4AD4">
        <w:rPr>
          <w:noProof/>
        </w:rPr>
        <w:t>3GPP TSG-RAN WG4 Meeting #AH1807, Montreal, Canada, July 2018.</w:t>
      </w:r>
    </w:p>
    <w:p w14:paraId="0B9D3D6F" w14:textId="77777777" w:rsidR="00184C2A" w:rsidRPr="00184C2A" w:rsidRDefault="00184C2A" w:rsidP="00184C2A">
      <w:pPr>
        <w:numPr>
          <w:ilvl w:val="0"/>
          <w:numId w:val="1"/>
        </w:numPr>
        <w:overflowPunct w:val="0"/>
        <w:autoSpaceDE w:val="0"/>
        <w:autoSpaceDN w:val="0"/>
        <w:adjustRightInd w:val="0"/>
        <w:spacing w:after="120" w:line="240" w:lineRule="auto"/>
        <w:ind w:right="-22"/>
        <w:jc w:val="both"/>
        <w:textAlignment w:val="baseline"/>
        <w:rPr>
          <w:lang w:val="en-GB"/>
        </w:rPr>
      </w:pPr>
      <w:r>
        <w:rPr>
          <w:lang w:val="en-GB"/>
        </w:rPr>
        <w:t xml:space="preserve">R4-1803283, LS on BWP switching delay, </w:t>
      </w:r>
      <w:r w:rsidRPr="00E80EC6">
        <w:rPr>
          <w:lang w:val="en-GB"/>
        </w:rPr>
        <w:t>Intel Corporation</w:t>
      </w:r>
      <w:r>
        <w:rPr>
          <w:lang w:val="en-GB"/>
        </w:rPr>
        <w:t xml:space="preserve">, </w:t>
      </w:r>
      <w:r w:rsidRPr="0053342D">
        <w:rPr>
          <w:rFonts w:eastAsia="Times New Roman"/>
          <w:bCs/>
          <w:szCs w:val="20"/>
        </w:rPr>
        <w:t>3GPP TSG-RAN WG4 Meeting #</w:t>
      </w:r>
      <w:r w:rsidRPr="0053342D">
        <w:rPr>
          <w:rFonts w:eastAsia="Times New Roman"/>
          <w:bCs/>
          <w:szCs w:val="20"/>
          <w:lang w:val="ru-RU"/>
        </w:rPr>
        <w:t>8</w:t>
      </w:r>
      <w:r w:rsidRPr="0053342D">
        <w:rPr>
          <w:rFonts w:eastAsia="Times New Roman"/>
          <w:bCs/>
          <w:szCs w:val="20"/>
        </w:rPr>
        <w:t>6, Athens</w:t>
      </w:r>
      <w:r w:rsidRPr="0053342D">
        <w:rPr>
          <w:rFonts w:eastAsia="Times New Roman"/>
          <w:bCs/>
          <w:szCs w:val="20"/>
          <w:lang w:val="it-IT"/>
        </w:rPr>
        <w:t>,</w:t>
      </w:r>
      <w:r>
        <w:rPr>
          <w:rFonts w:eastAsia="Times New Roman"/>
          <w:bCs/>
          <w:szCs w:val="20"/>
          <w:lang w:val="it-IT"/>
        </w:rPr>
        <w:t xml:space="preserve"> </w:t>
      </w:r>
      <w:r w:rsidRPr="0053342D">
        <w:rPr>
          <w:rFonts w:eastAsia="Times New Roman"/>
          <w:bCs/>
          <w:szCs w:val="20"/>
        </w:rPr>
        <w:t>Greece</w:t>
      </w:r>
      <w:r w:rsidRPr="0053342D">
        <w:rPr>
          <w:rFonts w:eastAsia="Times New Roman"/>
          <w:bCs/>
          <w:szCs w:val="20"/>
          <w:lang w:val="it-IT"/>
        </w:rPr>
        <w:t xml:space="preserve">, </w:t>
      </w:r>
      <w:r w:rsidRPr="009C073D">
        <w:rPr>
          <w:rFonts w:eastAsia="Times New Roman"/>
          <w:bCs/>
          <w:szCs w:val="20"/>
          <w:lang w:val="it-IT"/>
        </w:rPr>
        <w:t xml:space="preserve">26 </w:t>
      </w:r>
      <w:r w:rsidRPr="004058E1">
        <w:rPr>
          <w:rFonts w:eastAsia="Times New Roman"/>
          <w:bCs/>
          <w:szCs w:val="20"/>
          <w:lang w:val="it-IT"/>
        </w:rPr>
        <w:t>Feb – 2 Mar 2018</w:t>
      </w:r>
      <w:r w:rsidRPr="004058E1">
        <w:rPr>
          <w:szCs w:val="20"/>
        </w:rPr>
        <w:t>.</w:t>
      </w:r>
    </w:p>
    <w:p w14:paraId="2A4A8C97"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10268" w14:textId="77777777" w:rsidR="008E0175" w:rsidRDefault="008E0175" w:rsidP="00001C9B">
      <w:pPr>
        <w:spacing w:after="0" w:line="240" w:lineRule="auto"/>
      </w:pPr>
      <w:r>
        <w:separator/>
      </w:r>
    </w:p>
  </w:endnote>
  <w:endnote w:type="continuationSeparator" w:id="0">
    <w:p w14:paraId="653526F1" w14:textId="77777777" w:rsidR="008E0175" w:rsidRDefault="008E017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F2B5B" w14:textId="77777777" w:rsidR="008E0175" w:rsidRDefault="008E0175" w:rsidP="00001C9B">
      <w:pPr>
        <w:spacing w:after="0" w:line="240" w:lineRule="auto"/>
      </w:pPr>
      <w:r>
        <w:separator/>
      </w:r>
    </w:p>
  </w:footnote>
  <w:footnote w:type="continuationSeparator" w:id="0">
    <w:p w14:paraId="72798E67" w14:textId="77777777" w:rsidR="008E0175" w:rsidRDefault="008E017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C346BB"/>
    <w:multiLevelType w:val="hybridMultilevel"/>
    <w:tmpl w:val="58869400"/>
    <w:lvl w:ilvl="0" w:tplc="048A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8341CE"/>
    <w:multiLevelType w:val="hybridMultilevel"/>
    <w:tmpl w:val="85E05F4A"/>
    <w:lvl w:ilvl="0" w:tplc="4630340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247F93"/>
    <w:multiLevelType w:val="hybridMultilevel"/>
    <w:tmpl w:val="E2346CF6"/>
    <w:lvl w:ilvl="0" w:tplc="048A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F9CC3C8"/>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E935DD"/>
    <w:multiLevelType w:val="hybridMultilevel"/>
    <w:tmpl w:val="2B3637B6"/>
    <w:lvl w:ilvl="0" w:tplc="B0F2BF2E">
      <w:start w:val="1"/>
      <w:numFmt w:val="bullet"/>
      <w:lvlText w:val="•"/>
      <w:lvlJc w:val="left"/>
      <w:pPr>
        <w:tabs>
          <w:tab w:val="num" w:pos="720"/>
        </w:tabs>
        <w:ind w:left="720" w:hanging="360"/>
      </w:pPr>
      <w:rPr>
        <w:rFonts w:ascii="Arial" w:hAnsi="Arial" w:hint="default"/>
      </w:rPr>
    </w:lvl>
    <w:lvl w:ilvl="1" w:tplc="CFB60158">
      <w:numFmt w:val="bullet"/>
      <w:lvlText w:val="–"/>
      <w:lvlJc w:val="left"/>
      <w:pPr>
        <w:tabs>
          <w:tab w:val="num" w:pos="1440"/>
        </w:tabs>
        <w:ind w:left="1440" w:hanging="360"/>
      </w:pPr>
      <w:rPr>
        <w:rFonts w:ascii="Arial" w:hAnsi="Arial" w:hint="default"/>
      </w:rPr>
    </w:lvl>
    <w:lvl w:ilvl="2" w:tplc="F56CFB56" w:tentative="1">
      <w:start w:val="1"/>
      <w:numFmt w:val="bullet"/>
      <w:lvlText w:val="•"/>
      <w:lvlJc w:val="left"/>
      <w:pPr>
        <w:tabs>
          <w:tab w:val="num" w:pos="2160"/>
        </w:tabs>
        <w:ind w:left="2160" w:hanging="360"/>
      </w:pPr>
      <w:rPr>
        <w:rFonts w:ascii="Arial" w:hAnsi="Arial" w:hint="default"/>
      </w:rPr>
    </w:lvl>
    <w:lvl w:ilvl="3" w:tplc="B934743C" w:tentative="1">
      <w:start w:val="1"/>
      <w:numFmt w:val="bullet"/>
      <w:lvlText w:val="•"/>
      <w:lvlJc w:val="left"/>
      <w:pPr>
        <w:tabs>
          <w:tab w:val="num" w:pos="2880"/>
        </w:tabs>
        <w:ind w:left="2880" w:hanging="360"/>
      </w:pPr>
      <w:rPr>
        <w:rFonts w:ascii="Arial" w:hAnsi="Arial" w:hint="default"/>
      </w:rPr>
    </w:lvl>
    <w:lvl w:ilvl="4" w:tplc="B69CEC96" w:tentative="1">
      <w:start w:val="1"/>
      <w:numFmt w:val="bullet"/>
      <w:lvlText w:val="•"/>
      <w:lvlJc w:val="left"/>
      <w:pPr>
        <w:tabs>
          <w:tab w:val="num" w:pos="3600"/>
        </w:tabs>
        <w:ind w:left="3600" w:hanging="360"/>
      </w:pPr>
      <w:rPr>
        <w:rFonts w:ascii="Arial" w:hAnsi="Arial" w:hint="default"/>
      </w:rPr>
    </w:lvl>
    <w:lvl w:ilvl="5" w:tplc="B89E264C" w:tentative="1">
      <w:start w:val="1"/>
      <w:numFmt w:val="bullet"/>
      <w:lvlText w:val="•"/>
      <w:lvlJc w:val="left"/>
      <w:pPr>
        <w:tabs>
          <w:tab w:val="num" w:pos="4320"/>
        </w:tabs>
        <w:ind w:left="4320" w:hanging="360"/>
      </w:pPr>
      <w:rPr>
        <w:rFonts w:ascii="Arial" w:hAnsi="Arial" w:hint="default"/>
      </w:rPr>
    </w:lvl>
    <w:lvl w:ilvl="6" w:tplc="752CBEA0" w:tentative="1">
      <w:start w:val="1"/>
      <w:numFmt w:val="bullet"/>
      <w:lvlText w:val="•"/>
      <w:lvlJc w:val="left"/>
      <w:pPr>
        <w:tabs>
          <w:tab w:val="num" w:pos="5040"/>
        </w:tabs>
        <w:ind w:left="5040" w:hanging="360"/>
      </w:pPr>
      <w:rPr>
        <w:rFonts w:ascii="Arial" w:hAnsi="Arial" w:hint="default"/>
      </w:rPr>
    </w:lvl>
    <w:lvl w:ilvl="7" w:tplc="9CECB43E" w:tentative="1">
      <w:start w:val="1"/>
      <w:numFmt w:val="bullet"/>
      <w:lvlText w:val="•"/>
      <w:lvlJc w:val="left"/>
      <w:pPr>
        <w:tabs>
          <w:tab w:val="num" w:pos="5760"/>
        </w:tabs>
        <w:ind w:left="5760" w:hanging="360"/>
      </w:pPr>
      <w:rPr>
        <w:rFonts w:ascii="Arial" w:hAnsi="Arial" w:hint="default"/>
      </w:rPr>
    </w:lvl>
    <w:lvl w:ilvl="8" w:tplc="6408DCF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10"/>
  </w:num>
  <w:num w:numId="4">
    <w:abstractNumId w:val="2"/>
  </w:num>
  <w:num w:numId="5">
    <w:abstractNumId w:val="12"/>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3"/>
  </w:num>
  <w:num w:numId="16">
    <w:abstractNumId w:val="1"/>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6"/>
  </w:num>
  <w:num w:numId="23">
    <w:abstractNumId w:val="3"/>
  </w:num>
  <w:num w:numId="24">
    <w:abstractNumId w:val="5"/>
  </w:num>
  <w:num w:numId="25">
    <w:abstractNumId w:val="9"/>
    <w:lvlOverride w:ilvl="0">
      <w:startOverride w:val="1"/>
    </w:lvlOverride>
  </w:num>
  <w:num w:numId="26">
    <w:abstractNumId w:val="8"/>
    <w:lvlOverride w:ilvl="0">
      <w:startOverride w:val="1"/>
    </w:lvlOverride>
  </w:num>
  <w:num w:numId="27">
    <w:abstractNumId w:val="9"/>
    <w:lvlOverride w:ilvl="0">
      <w:startOverride w:val="1"/>
    </w:lvlOverride>
  </w:num>
  <w:num w:numId="28">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0B0056"/>
    <w:rsid w:val="000D0566"/>
    <w:rsid w:val="001149A4"/>
    <w:rsid w:val="00127A84"/>
    <w:rsid w:val="001745F8"/>
    <w:rsid w:val="001838CF"/>
    <w:rsid w:val="00184C2A"/>
    <w:rsid w:val="001A3BA4"/>
    <w:rsid w:val="001E0CB1"/>
    <w:rsid w:val="001E30F6"/>
    <w:rsid w:val="00231633"/>
    <w:rsid w:val="00235F5C"/>
    <w:rsid w:val="00251974"/>
    <w:rsid w:val="002B4922"/>
    <w:rsid w:val="002C2D19"/>
    <w:rsid w:val="002D10FA"/>
    <w:rsid w:val="002D4C55"/>
    <w:rsid w:val="003B659E"/>
    <w:rsid w:val="0043750A"/>
    <w:rsid w:val="004E5E66"/>
    <w:rsid w:val="00503B4D"/>
    <w:rsid w:val="00504EE9"/>
    <w:rsid w:val="0054442C"/>
    <w:rsid w:val="00550285"/>
    <w:rsid w:val="005836F8"/>
    <w:rsid w:val="005918FA"/>
    <w:rsid w:val="005E61A8"/>
    <w:rsid w:val="005F6419"/>
    <w:rsid w:val="00617400"/>
    <w:rsid w:val="00664950"/>
    <w:rsid w:val="0068277C"/>
    <w:rsid w:val="00683220"/>
    <w:rsid w:val="00687FA0"/>
    <w:rsid w:val="006B7010"/>
    <w:rsid w:val="006F5EC4"/>
    <w:rsid w:val="0070077A"/>
    <w:rsid w:val="007145FF"/>
    <w:rsid w:val="00751515"/>
    <w:rsid w:val="00785232"/>
    <w:rsid w:val="007A4AD4"/>
    <w:rsid w:val="007C3ED0"/>
    <w:rsid w:val="00806A76"/>
    <w:rsid w:val="00811C9D"/>
    <w:rsid w:val="00816C80"/>
    <w:rsid w:val="00841BCD"/>
    <w:rsid w:val="00851A8E"/>
    <w:rsid w:val="008826C1"/>
    <w:rsid w:val="00887737"/>
    <w:rsid w:val="008E0175"/>
    <w:rsid w:val="008F25B8"/>
    <w:rsid w:val="0090091A"/>
    <w:rsid w:val="009039B3"/>
    <w:rsid w:val="009042BD"/>
    <w:rsid w:val="00977E1D"/>
    <w:rsid w:val="00A22B78"/>
    <w:rsid w:val="00A25AE5"/>
    <w:rsid w:val="00A37002"/>
    <w:rsid w:val="00AA1B0E"/>
    <w:rsid w:val="00AC5CA7"/>
    <w:rsid w:val="00AE56B1"/>
    <w:rsid w:val="00AE5735"/>
    <w:rsid w:val="00B73862"/>
    <w:rsid w:val="00BA6E48"/>
    <w:rsid w:val="00BC4429"/>
    <w:rsid w:val="00BF2218"/>
    <w:rsid w:val="00C803EE"/>
    <w:rsid w:val="00C82906"/>
    <w:rsid w:val="00CD7492"/>
    <w:rsid w:val="00CE3A6B"/>
    <w:rsid w:val="00D00211"/>
    <w:rsid w:val="00D05D39"/>
    <w:rsid w:val="00D06309"/>
    <w:rsid w:val="00D14E4A"/>
    <w:rsid w:val="00D351EA"/>
    <w:rsid w:val="00D43403"/>
    <w:rsid w:val="00D62E71"/>
    <w:rsid w:val="00D740CA"/>
    <w:rsid w:val="00D85728"/>
    <w:rsid w:val="00DA0ED9"/>
    <w:rsid w:val="00DF2997"/>
    <w:rsid w:val="00E0610C"/>
    <w:rsid w:val="00E20B8A"/>
    <w:rsid w:val="00E47EB7"/>
    <w:rsid w:val="00EA7363"/>
    <w:rsid w:val="00EC7BC3"/>
    <w:rsid w:val="00ED7600"/>
    <w:rsid w:val="00F1362C"/>
    <w:rsid w:val="00F23855"/>
    <w:rsid w:val="00F824F5"/>
    <w:rsid w:val="00F9003F"/>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6C98E4"/>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84C2A"/>
    <w:pPr>
      <w:spacing w:before="100" w:beforeAutospacing="1" w:after="100" w:afterAutospacing="1" w:line="240" w:lineRule="auto"/>
    </w:pPr>
    <w:rPr>
      <w:rFonts w:eastAsia="Times New Roman" w:cs="Times New Roman"/>
      <w:sz w:val="24"/>
      <w:szCs w:val="24"/>
    </w:rPr>
  </w:style>
  <w:style w:type="paragraph" w:customStyle="1" w:styleId="Doc-text2">
    <w:name w:val="Doc-text2"/>
    <w:basedOn w:val="Normal"/>
    <w:link w:val="Doc-text2Char"/>
    <w:qFormat/>
    <w:rsid w:val="0070077A"/>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rsid w:val="0070077A"/>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127A84"/>
    <w:rPr>
      <w:sz w:val="16"/>
      <w:szCs w:val="16"/>
    </w:rPr>
  </w:style>
  <w:style w:type="paragraph" w:styleId="CommentText">
    <w:name w:val="annotation text"/>
    <w:basedOn w:val="Normal"/>
    <w:link w:val="CommentTextChar"/>
    <w:uiPriority w:val="99"/>
    <w:semiHidden/>
    <w:unhideWhenUsed/>
    <w:rsid w:val="00127A84"/>
    <w:pPr>
      <w:spacing w:line="240" w:lineRule="auto"/>
    </w:pPr>
    <w:rPr>
      <w:szCs w:val="20"/>
    </w:rPr>
  </w:style>
  <w:style w:type="character" w:customStyle="1" w:styleId="CommentTextChar">
    <w:name w:val="Comment Text Char"/>
    <w:basedOn w:val="DefaultParagraphFont"/>
    <w:link w:val="CommentText"/>
    <w:uiPriority w:val="99"/>
    <w:semiHidden/>
    <w:rsid w:val="00127A8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27A84"/>
    <w:rPr>
      <w:b/>
      <w:bCs/>
    </w:rPr>
  </w:style>
  <w:style w:type="character" w:customStyle="1" w:styleId="CommentSubjectChar">
    <w:name w:val="Comment Subject Char"/>
    <w:basedOn w:val="CommentTextChar"/>
    <w:link w:val="CommentSubject"/>
    <w:uiPriority w:val="99"/>
    <w:semiHidden/>
    <w:rsid w:val="00127A84"/>
    <w:rPr>
      <w:rFonts w:ascii="Times New Roman" w:hAnsi="Times New Roman"/>
      <w:b/>
      <w:bCs/>
      <w:sz w:val="20"/>
      <w:szCs w:val="20"/>
    </w:rPr>
  </w:style>
  <w:style w:type="paragraph" w:styleId="BalloonText">
    <w:name w:val="Balloon Text"/>
    <w:basedOn w:val="Normal"/>
    <w:link w:val="BalloonTextChar"/>
    <w:uiPriority w:val="99"/>
    <w:semiHidden/>
    <w:unhideWhenUsed/>
    <w:rsid w:val="00127A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7A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749732">
      <w:bodyDiv w:val="1"/>
      <w:marLeft w:val="0"/>
      <w:marRight w:val="0"/>
      <w:marTop w:val="0"/>
      <w:marBottom w:val="0"/>
      <w:divBdr>
        <w:top w:val="none" w:sz="0" w:space="0" w:color="auto"/>
        <w:left w:val="none" w:sz="0" w:space="0" w:color="auto"/>
        <w:bottom w:val="none" w:sz="0" w:space="0" w:color="auto"/>
        <w:right w:val="none" w:sz="0" w:space="0" w:color="auto"/>
      </w:divBdr>
    </w:div>
    <w:div w:id="1111626560">
      <w:bodyDiv w:val="1"/>
      <w:marLeft w:val="0"/>
      <w:marRight w:val="0"/>
      <w:marTop w:val="0"/>
      <w:marBottom w:val="0"/>
      <w:divBdr>
        <w:top w:val="none" w:sz="0" w:space="0" w:color="auto"/>
        <w:left w:val="none" w:sz="0" w:space="0" w:color="auto"/>
        <w:bottom w:val="none" w:sz="0" w:space="0" w:color="auto"/>
        <w:right w:val="none" w:sz="0" w:space="0" w:color="auto"/>
      </w:divBdr>
      <w:divsChild>
        <w:div w:id="2005624517">
          <w:marLeft w:val="547"/>
          <w:marRight w:val="0"/>
          <w:marTop w:val="120"/>
          <w:marBottom w:val="0"/>
          <w:divBdr>
            <w:top w:val="none" w:sz="0" w:space="0" w:color="auto"/>
            <w:left w:val="none" w:sz="0" w:space="0" w:color="auto"/>
            <w:bottom w:val="none" w:sz="0" w:space="0" w:color="auto"/>
            <w:right w:val="none" w:sz="0" w:space="0" w:color="auto"/>
          </w:divBdr>
        </w:div>
        <w:div w:id="1831828775">
          <w:marLeft w:val="1166"/>
          <w:marRight w:val="0"/>
          <w:marTop w:val="101"/>
          <w:marBottom w:val="0"/>
          <w:divBdr>
            <w:top w:val="none" w:sz="0" w:space="0" w:color="auto"/>
            <w:left w:val="none" w:sz="0" w:space="0" w:color="auto"/>
            <w:bottom w:val="none" w:sz="0" w:space="0" w:color="auto"/>
            <w:right w:val="none" w:sz="0" w:space="0" w:color="auto"/>
          </w:divBdr>
        </w:div>
        <w:div w:id="1638101372">
          <w:marLeft w:val="1166"/>
          <w:marRight w:val="0"/>
          <w:marTop w:val="101"/>
          <w:marBottom w:val="0"/>
          <w:divBdr>
            <w:top w:val="none" w:sz="0" w:space="0" w:color="auto"/>
            <w:left w:val="none" w:sz="0" w:space="0" w:color="auto"/>
            <w:bottom w:val="none" w:sz="0" w:space="0" w:color="auto"/>
            <w:right w:val="none" w:sz="0" w:space="0" w:color="auto"/>
          </w:divBdr>
        </w:div>
        <w:div w:id="664166036">
          <w:marLeft w:val="1166"/>
          <w:marRight w:val="0"/>
          <w:marTop w:val="101"/>
          <w:marBottom w:val="0"/>
          <w:divBdr>
            <w:top w:val="none" w:sz="0" w:space="0" w:color="auto"/>
            <w:left w:val="none" w:sz="0" w:space="0" w:color="auto"/>
            <w:bottom w:val="none" w:sz="0" w:space="0" w:color="auto"/>
            <w:right w:val="none" w:sz="0" w:space="0" w:color="auto"/>
          </w:divBdr>
        </w:div>
        <w:div w:id="69474836">
          <w:marLeft w:val="1166"/>
          <w:marRight w:val="0"/>
          <w:marTop w:val="101"/>
          <w:marBottom w:val="0"/>
          <w:divBdr>
            <w:top w:val="none" w:sz="0" w:space="0" w:color="auto"/>
            <w:left w:val="none" w:sz="0" w:space="0" w:color="auto"/>
            <w:bottom w:val="none" w:sz="0" w:space="0" w:color="auto"/>
            <w:right w:val="none" w:sz="0" w:space="0" w:color="auto"/>
          </w:divBdr>
        </w:div>
        <w:div w:id="1575318283">
          <w:marLeft w:val="1166"/>
          <w:marRight w:val="0"/>
          <w:marTop w:val="101"/>
          <w:marBottom w:val="0"/>
          <w:divBdr>
            <w:top w:val="none" w:sz="0" w:space="0" w:color="auto"/>
            <w:left w:val="none" w:sz="0" w:space="0" w:color="auto"/>
            <w:bottom w:val="none" w:sz="0" w:space="0" w:color="auto"/>
            <w:right w:val="none" w:sz="0" w:space="0" w:color="auto"/>
          </w:divBdr>
        </w:div>
        <w:div w:id="1264261926">
          <w:marLeft w:val="547"/>
          <w:marRight w:val="0"/>
          <w:marTop w:val="120"/>
          <w:marBottom w:val="0"/>
          <w:divBdr>
            <w:top w:val="none" w:sz="0" w:space="0" w:color="auto"/>
            <w:left w:val="none" w:sz="0" w:space="0" w:color="auto"/>
            <w:bottom w:val="none" w:sz="0" w:space="0" w:color="auto"/>
            <w:right w:val="none" w:sz="0" w:space="0" w:color="auto"/>
          </w:divBdr>
        </w:div>
        <w:div w:id="565839128">
          <w:marLeft w:val="547"/>
          <w:marRight w:val="0"/>
          <w:marTop w:val="120"/>
          <w:marBottom w:val="0"/>
          <w:divBdr>
            <w:top w:val="none" w:sz="0" w:space="0" w:color="auto"/>
            <w:left w:val="none" w:sz="0" w:space="0" w:color="auto"/>
            <w:bottom w:val="none" w:sz="0" w:space="0" w:color="auto"/>
            <w:right w:val="none" w:sz="0" w:space="0" w:color="auto"/>
          </w:divBdr>
        </w:div>
        <w:div w:id="809713170">
          <w:marLeft w:val="1166"/>
          <w:marRight w:val="0"/>
          <w:marTop w:val="101"/>
          <w:marBottom w:val="0"/>
          <w:divBdr>
            <w:top w:val="none" w:sz="0" w:space="0" w:color="auto"/>
            <w:left w:val="none" w:sz="0" w:space="0" w:color="auto"/>
            <w:bottom w:val="none" w:sz="0" w:space="0" w:color="auto"/>
            <w:right w:val="none" w:sz="0" w:space="0" w:color="auto"/>
          </w:divBdr>
        </w:div>
      </w:divsChild>
    </w:div>
    <w:div w:id="1180194245">
      <w:bodyDiv w:val="1"/>
      <w:marLeft w:val="0"/>
      <w:marRight w:val="0"/>
      <w:marTop w:val="0"/>
      <w:marBottom w:val="0"/>
      <w:divBdr>
        <w:top w:val="none" w:sz="0" w:space="0" w:color="auto"/>
        <w:left w:val="none" w:sz="0" w:space="0" w:color="auto"/>
        <w:bottom w:val="none" w:sz="0" w:space="0" w:color="auto"/>
        <w:right w:val="none" w:sz="0" w:space="0" w:color="auto"/>
      </w:divBdr>
      <w:divsChild>
        <w:div w:id="367726507">
          <w:marLeft w:val="547"/>
          <w:marRight w:val="0"/>
          <w:marTop w:val="120"/>
          <w:marBottom w:val="0"/>
          <w:divBdr>
            <w:top w:val="none" w:sz="0" w:space="0" w:color="auto"/>
            <w:left w:val="none" w:sz="0" w:space="0" w:color="auto"/>
            <w:bottom w:val="none" w:sz="0" w:space="0" w:color="auto"/>
            <w:right w:val="none" w:sz="0" w:space="0" w:color="auto"/>
          </w:divBdr>
        </w:div>
        <w:div w:id="2056347336">
          <w:marLeft w:val="1166"/>
          <w:marRight w:val="0"/>
          <w:marTop w:val="101"/>
          <w:marBottom w:val="0"/>
          <w:divBdr>
            <w:top w:val="none" w:sz="0" w:space="0" w:color="auto"/>
            <w:left w:val="none" w:sz="0" w:space="0" w:color="auto"/>
            <w:bottom w:val="none" w:sz="0" w:space="0" w:color="auto"/>
            <w:right w:val="none" w:sz="0" w:space="0" w:color="auto"/>
          </w:divBdr>
        </w:div>
        <w:div w:id="2093312104">
          <w:marLeft w:val="1166"/>
          <w:marRight w:val="0"/>
          <w:marTop w:val="101"/>
          <w:marBottom w:val="0"/>
          <w:divBdr>
            <w:top w:val="none" w:sz="0" w:space="0" w:color="auto"/>
            <w:left w:val="none" w:sz="0" w:space="0" w:color="auto"/>
            <w:bottom w:val="none" w:sz="0" w:space="0" w:color="auto"/>
            <w:right w:val="none" w:sz="0" w:space="0" w:color="auto"/>
          </w:divBdr>
        </w:div>
        <w:div w:id="2108958490">
          <w:marLeft w:val="1166"/>
          <w:marRight w:val="0"/>
          <w:marTop w:val="101"/>
          <w:marBottom w:val="0"/>
          <w:divBdr>
            <w:top w:val="none" w:sz="0" w:space="0" w:color="auto"/>
            <w:left w:val="none" w:sz="0" w:space="0" w:color="auto"/>
            <w:bottom w:val="none" w:sz="0" w:space="0" w:color="auto"/>
            <w:right w:val="none" w:sz="0" w:space="0" w:color="auto"/>
          </w:divBdr>
        </w:div>
        <w:div w:id="1032341437">
          <w:marLeft w:val="1166"/>
          <w:marRight w:val="0"/>
          <w:marTop w:val="101"/>
          <w:marBottom w:val="0"/>
          <w:divBdr>
            <w:top w:val="none" w:sz="0" w:space="0" w:color="auto"/>
            <w:left w:val="none" w:sz="0" w:space="0" w:color="auto"/>
            <w:bottom w:val="none" w:sz="0" w:space="0" w:color="auto"/>
            <w:right w:val="none" w:sz="0" w:space="0" w:color="auto"/>
          </w:divBdr>
        </w:div>
        <w:div w:id="684209216">
          <w:marLeft w:val="1166"/>
          <w:marRight w:val="0"/>
          <w:marTop w:val="101"/>
          <w:marBottom w:val="0"/>
          <w:divBdr>
            <w:top w:val="none" w:sz="0" w:space="0" w:color="auto"/>
            <w:left w:val="none" w:sz="0" w:space="0" w:color="auto"/>
            <w:bottom w:val="none" w:sz="0" w:space="0" w:color="auto"/>
            <w:right w:val="none" w:sz="0" w:space="0" w:color="auto"/>
          </w:divBdr>
        </w:div>
        <w:div w:id="1005477009">
          <w:marLeft w:val="547"/>
          <w:marRight w:val="0"/>
          <w:marTop w:val="120"/>
          <w:marBottom w:val="0"/>
          <w:divBdr>
            <w:top w:val="none" w:sz="0" w:space="0" w:color="auto"/>
            <w:left w:val="none" w:sz="0" w:space="0" w:color="auto"/>
            <w:bottom w:val="none" w:sz="0" w:space="0" w:color="auto"/>
            <w:right w:val="none" w:sz="0" w:space="0" w:color="auto"/>
          </w:divBdr>
        </w:div>
        <w:div w:id="959066353">
          <w:marLeft w:val="547"/>
          <w:marRight w:val="0"/>
          <w:marTop w:val="120"/>
          <w:marBottom w:val="0"/>
          <w:divBdr>
            <w:top w:val="none" w:sz="0" w:space="0" w:color="auto"/>
            <w:left w:val="none" w:sz="0" w:space="0" w:color="auto"/>
            <w:bottom w:val="none" w:sz="0" w:space="0" w:color="auto"/>
            <w:right w:val="none" w:sz="0" w:space="0" w:color="auto"/>
          </w:divBdr>
        </w:div>
        <w:div w:id="635256661">
          <w:marLeft w:val="1166"/>
          <w:marRight w:val="0"/>
          <w:marTop w:val="101"/>
          <w:marBottom w:val="0"/>
          <w:divBdr>
            <w:top w:val="none" w:sz="0" w:space="0" w:color="auto"/>
            <w:left w:val="none" w:sz="0" w:space="0" w:color="auto"/>
            <w:bottom w:val="none" w:sz="0" w:space="0" w:color="auto"/>
            <w:right w:val="none" w:sz="0" w:space="0" w:color="auto"/>
          </w:divBdr>
        </w:div>
      </w:divsChild>
    </w:div>
    <w:div w:id="146599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2_RL2/TSGR2_102/Docs/R2-1808587.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02/Docs/R2-1808645.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tsg_ran/TSG_RAN/TSGR_80/Docs/RP-181484.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4530F-A3C5-418D-B76E-4B67C5AEC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6</Pages>
  <Words>2224</Words>
  <Characters>12677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17</cp:revision>
  <dcterms:created xsi:type="dcterms:W3CDTF">2018-03-26T10:33:00Z</dcterms:created>
  <dcterms:modified xsi:type="dcterms:W3CDTF">2018-08-10T18:16:00Z</dcterms:modified>
</cp:coreProperties>
</file>